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285" w:leader="none"/>
        </w:tabs>
        <w:rPr>
          <w:b/>
          <w:b/>
          <w:sz w:val="22"/>
          <w:szCs w:val="22"/>
        </w:rPr>
      </w:pPr>
      <w:r>
        <mc:AlternateContent>
          <mc:Choice Requires="wps">
            <w:drawing>
              <wp:anchor behindDoc="0" distT="0" distB="0" distL="0" distR="0" simplePos="0" locked="0" layoutInCell="1" allowOverlap="1" relativeHeight="2">
                <wp:simplePos x="0" y="0"/>
                <wp:positionH relativeFrom="column">
                  <wp:posOffset>3314700</wp:posOffset>
                </wp:positionH>
                <wp:positionV relativeFrom="paragraph">
                  <wp:posOffset>-114300</wp:posOffset>
                </wp:positionV>
                <wp:extent cx="2743835" cy="572135"/>
                <wp:effectExtent l="0" t="0" r="0" b="0"/>
                <wp:wrapNone/>
                <wp:docPr id="1" name="Изображение1"/>
                <a:graphic xmlns:a="http://schemas.openxmlformats.org/drawingml/2006/main">
                  <a:graphicData uri="http://schemas.microsoft.com/office/word/2010/wordprocessingShape">
                    <wps:wsp>
                      <wps:cNvSpPr/>
                      <wps:spPr>
                        <a:xfrm>
                          <a:off x="0" y="0"/>
                          <a:ext cx="2743200" cy="571680"/>
                        </a:xfrm>
                        <a:prstGeom prst="rect">
                          <a:avLst/>
                        </a:prstGeom>
                        <a:solidFill>
                          <a:srgbClr val="ffffff"/>
                        </a:solidFill>
                        <a:ln>
                          <a:noFill/>
                        </a:ln>
                      </wps:spPr>
                      <wps:style>
                        <a:lnRef idx="0"/>
                        <a:fillRef idx="0"/>
                        <a:effectRef idx="0"/>
                        <a:fontRef idx="minor"/>
                      </wps:style>
                      <wps:txbx>
                        <w:txbxContent>
                          <w:p>
                            <w:pPr>
                              <w:pStyle w:val="Style20"/>
                              <w:jc w:val="right"/>
                              <w:rPr>
                                <w:b/>
                                <w:b/>
                                <w:sz w:val="22"/>
                                <w:szCs w:val="22"/>
                              </w:rPr>
                            </w:pPr>
                            <w:r>
                              <w:rPr>
                                <w:b/>
                                <w:sz w:val="22"/>
                                <w:szCs w:val="22"/>
                              </w:rPr>
                              <w:t xml:space="preserve">Утверждаю: </w:t>
                            </w:r>
                          </w:p>
                          <w:p>
                            <w:pPr>
                              <w:pStyle w:val="Style20"/>
                              <w:jc w:val="right"/>
                              <w:rPr>
                                <w:b/>
                                <w:b/>
                                <w:sz w:val="22"/>
                                <w:szCs w:val="22"/>
                              </w:rPr>
                            </w:pPr>
                            <w:r>
                              <w:rPr>
                                <w:b/>
                                <w:sz w:val="22"/>
                                <w:szCs w:val="22"/>
                              </w:rPr>
                              <w:t xml:space="preserve">Директор школы ________      </w:t>
                            </w:r>
                          </w:p>
                          <w:p>
                            <w:pPr>
                              <w:pStyle w:val="Style20"/>
                              <w:jc w:val="right"/>
                              <w:rPr/>
                            </w:pPr>
                            <w:r>
                              <w:rPr>
                                <w:b/>
                                <w:sz w:val="22"/>
                                <w:szCs w:val="22"/>
                              </w:rPr>
                              <w:t>(А.А. Корнева)</w:t>
                            </w:r>
                          </w:p>
                        </w:txbxContent>
                      </wps:txbx>
                      <wps:bodyPr>
                        <a:noAutofit/>
                      </wps:bodyPr>
                    </wps:wsp>
                  </a:graphicData>
                </a:graphic>
              </wp:anchor>
            </w:drawing>
          </mc:Choice>
          <mc:Fallback>
            <w:pict>
              <v:rect id="shape_0" ID="Изображение1" fillcolor="white" stroked="f" style="position:absolute;margin-left:261pt;margin-top:-9pt;width:215.95pt;height:44.95pt">
                <w10:wrap type="square"/>
                <v:fill o:detectmouseclick="t" type="solid" color2="black"/>
                <v:stroke color="#3465a4" joinstyle="round" endcap="flat"/>
                <v:textbox>
                  <w:txbxContent>
                    <w:p>
                      <w:pPr>
                        <w:pStyle w:val="Style20"/>
                        <w:jc w:val="right"/>
                        <w:rPr>
                          <w:b/>
                          <w:b/>
                          <w:sz w:val="22"/>
                          <w:szCs w:val="22"/>
                        </w:rPr>
                      </w:pPr>
                      <w:r>
                        <w:rPr>
                          <w:b/>
                          <w:sz w:val="22"/>
                          <w:szCs w:val="22"/>
                        </w:rPr>
                        <w:t xml:space="preserve">Утверждаю: </w:t>
                      </w:r>
                    </w:p>
                    <w:p>
                      <w:pPr>
                        <w:pStyle w:val="Style20"/>
                        <w:jc w:val="right"/>
                        <w:rPr>
                          <w:b/>
                          <w:b/>
                          <w:sz w:val="22"/>
                          <w:szCs w:val="22"/>
                        </w:rPr>
                      </w:pPr>
                      <w:r>
                        <w:rPr>
                          <w:b/>
                          <w:sz w:val="22"/>
                          <w:szCs w:val="22"/>
                        </w:rPr>
                        <w:t xml:space="preserve">Директор школы ________      </w:t>
                      </w:r>
                    </w:p>
                    <w:p>
                      <w:pPr>
                        <w:pStyle w:val="Style20"/>
                        <w:jc w:val="right"/>
                        <w:rPr/>
                      </w:pPr>
                      <w:r>
                        <w:rPr>
                          <w:b/>
                          <w:sz w:val="22"/>
                          <w:szCs w:val="22"/>
                        </w:rPr>
                        <w:t>(А.А. Корнева)</w:t>
                      </w:r>
                    </w:p>
                  </w:txbxContent>
                </v:textbox>
              </v:rect>
            </w:pict>
          </mc:Fallback>
        </mc:AlternateContent>
      </w:r>
      <w:r>
        <w:rPr>
          <w:b/>
          <w:sz w:val="22"/>
          <w:szCs w:val="22"/>
        </w:rPr>
        <w:t xml:space="preserve">Принято    Конференцией Учреждения                                             </w:t>
      </w:r>
    </w:p>
    <w:p>
      <w:pPr>
        <w:pStyle w:val="Normal"/>
        <w:rPr/>
      </w:pPr>
      <w:r>
        <w:rPr>
          <w:b/>
          <w:sz w:val="22"/>
          <w:szCs w:val="22"/>
        </w:rPr>
        <w:t xml:space="preserve">Протокол № 11   от 21.06.2021      </w:t>
      </w:r>
    </w:p>
    <w:p>
      <w:pPr>
        <w:pStyle w:val="Normal"/>
        <w:rPr>
          <w:b/>
          <w:b/>
          <w:bCs/>
          <w:sz w:val="20"/>
          <w:szCs w:val="20"/>
        </w:rPr>
      </w:pPr>
      <w:r>
        <w:rPr>
          <w:b/>
          <w:bCs/>
          <w:sz w:val="20"/>
          <w:szCs w:val="20"/>
        </w:rPr>
      </w:r>
    </w:p>
    <w:p>
      <w:pPr>
        <w:pStyle w:val="Normal"/>
        <w:jc w:val="center"/>
        <w:rPr>
          <w:b/>
          <w:b/>
          <w:bCs/>
          <w:sz w:val="20"/>
          <w:szCs w:val="20"/>
        </w:rPr>
      </w:pPr>
      <w:r>
        <w:rPr>
          <w:bCs/>
          <w:sz w:val="20"/>
          <w:szCs w:val="20"/>
        </w:rPr>
        <w:t xml:space="preserve">                                                                                                             </w:t>
      </w:r>
      <w:r>
        <w:rPr>
          <w:b/>
          <w:bCs/>
          <w:sz w:val="20"/>
          <w:szCs w:val="20"/>
        </w:rPr>
        <w:t>Приказ   89-о  от  21.08.2021</w:t>
      </w:r>
    </w:p>
    <w:p>
      <w:pPr>
        <w:pStyle w:val="Normal"/>
        <w:jc w:val="center"/>
        <w:rPr>
          <w:b/>
          <w:b/>
          <w:bCs/>
        </w:rPr>
      </w:pPr>
      <w:r>
        <w:rPr>
          <w:b/>
          <w:bCs/>
        </w:rPr>
      </w:r>
    </w:p>
    <w:p>
      <w:pPr>
        <w:pStyle w:val="Normal"/>
        <w:jc w:val="center"/>
        <w:rPr/>
      </w:pPr>
      <w:r>
        <w:rPr>
          <w:b/>
          <w:bCs/>
        </w:rPr>
        <w:t>Учебный план</w:t>
      </w:r>
      <w:r>
        <w:rPr/>
        <w:t xml:space="preserve"> </w:t>
      </w:r>
    </w:p>
    <w:p>
      <w:pPr>
        <w:pStyle w:val="Normal"/>
        <w:jc w:val="center"/>
        <w:rPr>
          <w:b/>
          <w:b/>
        </w:rPr>
      </w:pPr>
      <w:r>
        <w:rPr>
          <w:b/>
        </w:rPr>
        <w:t>основной  образовательной программы начального общего образования</w:t>
      </w:r>
    </w:p>
    <w:p>
      <w:pPr>
        <w:pStyle w:val="Normal"/>
        <w:jc w:val="center"/>
        <w:rPr/>
      </w:pPr>
      <w:r>
        <w:rPr>
          <w:b/>
        </w:rPr>
        <w:t xml:space="preserve"> </w:t>
      </w:r>
      <w:r>
        <w:rPr>
          <w:b/>
        </w:rPr>
        <w:t>для 1-4 классов</w:t>
      </w:r>
      <w:r>
        <w:rPr>
          <w:b/>
          <w:bCs/>
        </w:rPr>
        <w:t xml:space="preserve"> </w:t>
      </w:r>
      <w:r>
        <w:rPr>
          <w:b/>
          <w:bCs/>
        </w:rPr>
        <w:t>ФГОС-2021</w:t>
      </w:r>
    </w:p>
    <w:p>
      <w:pPr>
        <w:pStyle w:val="1"/>
        <w:rPr/>
      </w:pPr>
      <w:r>
        <w:rPr/>
        <w:t>МОУ «Нововилговская средняя   школа №3»</w:t>
      </w:r>
    </w:p>
    <w:p>
      <w:pPr>
        <w:pStyle w:val="1"/>
        <w:rPr/>
      </w:pPr>
      <w:r>
        <w:rPr/>
        <w:t xml:space="preserve">Прионежского муниципального района </w:t>
      </w:r>
    </w:p>
    <w:p>
      <w:pPr>
        <w:pStyle w:val="1"/>
        <w:rPr/>
      </w:pPr>
      <w:r>
        <w:rPr/>
      </w:r>
    </w:p>
    <w:p>
      <w:pPr>
        <w:pStyle w:val="1"/>
        <w:rPr/>
      </w:pPr>
      <w:r>
        <w:rPr/>
        <w:t>на 2022-2023 учебный год</w:t>
      </w:r>
    </w:p>
    <w:p>
      <w:pPr>
        <w:pStyle w:val="Normal"/>
        <w:jc w:val="center"/>
        <w:rPr>
          <w:b/>
          <w:b/>
          <w:bCs/>
        </w:rPr>
      </w:pPr>
      <w:r>
        <w:rPr>
          <w:b/>
          <w:bCs/>
        </w:rPr>
      </w:r>
    </w:p>
    <w:tbl>
      <w:tblPr>
        <w:tblpPr w:bottomFromText="0" w:horzAnchor="page" w:leftFromText="180" w:rightFromText="180" w:tblpX="742" w:tblpY="158" w:topFromText="0" w:vertAnchor="text"/>
        <w:tblW w:w="11072" w:type="dxa"/>
        <w:jc w:val="left"/>
        <w:tblInd w:w="0" w:type="dxa"/>
        <w:tblCellMar>
          <w:top w:w="0" w:type="dxa"/>
          <w:left w:w="108" w:type="dxa"/>
          <w:bottom w:w="0" w:type="dxa"/>
          <w:right w:w="108" w:type="dxa"/>
        </w:tblCellMar>
        <w:tblLook w:val="0000"/>
      </w:tblPr>
      <w:tblGrid>
        <w:gridCol w:w="1999"/>
        <w:gridCol w:w="2265"/>
        <w:gridCol w:w="3"/>
        <w:gridCol w:w="847"/>
        <w:gridCol w:w="2"/>
        <w:gridCol w:w="848"/>
        <w:gridCol w:w="1"/>
        <w:gridCol w:w="1"/>
        <w:gridCol w:w="705"/>
        <w:gridCol w:w="3"/>
        <w:gridCol w:w="990"/>
        <w:gridCol w:w="1"/>
        <w:gridCol w:w="1"/>
        <w:gridCol w:w="705"/>
        <w:gridCol w:w="2"/>
        <w:gridCol w:w="849"/>
        <w:gridCol w:w="3"/>
        <w:gridCol w:w="1"/>
        <w:gridCol w:w="845"/>
        <w:gridCol w:w="2"/>
        <w:gridCol w:w="998"/>
      </w:tblGrid>
      <w:tr>
        <w:trPr>
          <w:trHeight w:val="315" w:hRule="atLeast"/>
        </w:trPr>
        <w:tc>
          <w:tcPr>
            <w:tcW w:w="19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Предметные </w:t>
            </w:r>
          </w:p>
          <w:p>
            <w:pPr>
              <w:pStyle w:val="Normal"/>
              <w:jc w:val="center"/>
              <w:rPr>
                <w:sz w:val="20"/>
                <w:szCs w:val="20"/>
              </w:rPr>
            </w:pPr>
            <w:r>
              <w:rPr>
                <w:sz w:val="20"/>
                <w:szCs w:val="20"/>
              </w:rPr>
              <w:t>области</w:t>
            </w:r>
          </w:p>
        </w:tc>
        <w:tc>
          <w:tcPr>
            <w:tcW w:w="2265" w:type="dxa"/>
            <w:vMerge w:val="restart"/>
            <w:tcBorders>
              <w:top w:val="single" w:sz="4" w:space="0" w:color="000000"/>
              <w:right w:val="single" w:sz="4" w:space="0" w:color="000000"/>
            </w:tcBorders>
            <w:shd w:color="auto" w:fill="auto" w:val="clear"/>
          </w:tcPr>
          <w:p>
            <w:pPr>
              <w:pStyle w:val="Normal"/>
              <w:jc w:val="center"/>
              <w:rPr>
                <w:sz w:val="20"/>
                <w:szCs w:val="20"/>
              </w:rPr>
            </w:pPr>
            <w:r>
              <w:rPr>
                <w:sz w:val="20"/>
                <w:szCs w:val="20"/>
              </w:rPr>
              <w:t>Предметы</w:t>
            </w:r>
          </w:p>
        </w:tc>
        <w:tc>
          <w:tcPr>
            <w:tcW w:w="1701" w:type="dxa"/>
            <w:gridSpan w:val="5"/>
            <w:tcBorders>
              <w:top w:val="single" w:sz="4" w:space="0" w:color="000000"/>
              <w:bottom w:val="single" w:sz="4" w:space="0" w:color="000000"/>
              <w:right w:val="single" w:sz="4" w:space="0" w:color="000000"/>
            </w:tcBorders>
            <w:shd w:color="auto" w:fill="auto" w:val="clear"/>
          </w:tcPr>
          <w:p>
            <w:pPr>
              <w:pStyle w:val="Normal"/>
              <w:jc w:val="center"/>
              <w:rPr>
                <w:b/>
                <w:b/>
                <w:sz w:val="20"/>
                <w:szCs w:val="20"/>
              </w:rPr>
            </w:pPr>
            <w:r>
              <w:rPr>
                <w:b/>
                <w:sz w:val="20"/>
                <w:szCs w:val="20"/>
              </w:rPr>
              <w:t>1 класс</w:t>
            </w:r>
          </w:p>
        </w:tc>
        <w:tc>
          <w:tcPr>
            <w:tcW w:w="1700" w:type="dxa"/>
            <w:gridSpan w:val="5"/>
            <w:tcBorders>
              <w:top w:val="single" w:sz="4" w:space="0" w:color="000000"/>
              <w:bottom w:val="single" w:sz="4" w:space="0" w:color="000000"/>
              <w:right w:val="single" w:sz="4" w:space="0" w:color="000000"/>
            </w:tcBorders>
            <w:shd w:color="auto" w:fill="auto" w:val="clear"/>
          </w:tcPr>
          <w:p>
            <w:pPr>
              <w:pStyle w:val="Normal"/>
              <w:jc w:val="center"/>
              <w:rPr>
                <w:b/>
                <w:b/>
                <w:sz w:val="20"/>
                <w:szCs w:val="20"/>
              </w:rPr>
            </w:pPr>
            <w:r>
              <w:rPr>
                <w:b/>
                <w:sz w:val="20"/>
                <w:szCs w:val="20"/>
              </w:rPr>
              <w:t>2 класс</w:t>
            </w:r>
          </w:p>
        </w:tc>
        <w:tc>
          <w:tcPr>
            <w:tcW w:w="1561" w:type="dxa"/>
            <w:gridSpan w:val="6"/>
            <w:tcBorders>
              <w:top w:val="single" w:sz="4" w:space="0" w:color="000000"/>
              <w:bottom w:val="single" w:sz="4" w:space="0" w:color="000000"/>
              <w:right w:val="single" w:sz="4" w:space="0" w:color="000000"/>
            </w:tcBorders>
            <w:shd w:color="auto" w:fill="auto" w:val="clear"/>
          </w:tcPr>
          <w:p>
            <w:pPr>
              <w:pStyle w:val="Normal"/>
              <w:jc w:val="center"/>
              <w:rPr>
                <w:b/>
                <w:b/>
                <w:sz w:val="20"/>
                <w:szCs w:val="20"/>
              </w:rPr>
            </w:pPr>
            <w:r>
              <w:rPr>
                <w:b/>
                <w:sz w:val="20"/>
                <w:szCs w:val="20"/>
              </w:rPr>
              <w:t>3 класс</w:t>
            </w:r>
          </w:p>
        </w:tc>
        <w:tc>
          <w:tcPr>
            <w:tcW w:w="1845" w:type="dxa"/>
            <w:gridSpan w:val="3"/>
            <w:tcBorders>
              <w:top w:val="single" w:sz="4" w:space="0" w:color="000000"/>
              <w:bottom w:val="single" w:sz="4" w:space="0" w:color="000000"/>
              <w:right w:val="single" w:sz="4" w:space="0" w:color="000000"/>
            </w:tcBorders>
            <w:shd w:color="auto" w:fill="auto" w:val="clear"/>
          </w:tcPr>
          <w:p>
            <w:pPr>
              <w:pStyle w:val="Normal"/>
              <w:jc w:val="center"/>
              <w:rPr>
                <w:b/>
                <w:b/>
                <w:sz w:val="20"/>
                <w:szCs w:val="20"/>
              </w:rPr>
            </w:pPr>
            <w:r>
              <w:rPr>
                <w:b/>
                <w:sz w:val="20"/>
                <w:szCs w:val="20"/>
              </w:rPr>
              <w:t>4 класс</w:t>
            </w:r>
          </w:p>
        </w:tc>
      </w:tr>
      <w:tr>
        <w:trPr>
          <w:trHeight w:val="615" w:hRule="atLeast"/>
        </w:trPr>
        <w:tc>
          <w:tcPr>
            <w:tcW w:w="199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2265" w:type="dxa"/>
            <w:vMerge w:val="continue"/>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год</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неделю</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год</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в</w:t>
            </w:r>
          </w:p>
          <w:p>
            <w:pPr>
              <w:pStyle w:val="Normal"/>
              <w:jc w:val="center"/>
              <w:rPr>
                <w:sz w:val="20"/>
                <w:szCs w:val="20"/>
              </w:rPr>
            </w:pPr>
            <w:r>
              <w:rPr>
                <w:sz w:val="20"/>
                <w:szCs w:val="20"/>
              </w:rPr>
              <w:t xml:space="preserve"> </w:t>
            </w:r>
            <w:r>
              <w:rPr>
                <w:sz w:val="20"/>
                <w:szCs w:val="20"/>
              </w:rPr>
              <w:t>неделю</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год</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неделю</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год</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в </w:t>
            </w:r>
          </w:p>
          <w:p>
            <w:pPr>
              <w:pStyle w:val="Normal"/>
              <w:jc w:val="center"/>
              <w:rPr>
                <w:sz w:val="20"/>
                <w:szCs w:val="20"/>
              </w:rPr>
            </w:pPr>
            <w:r>
              <w:rPr>
                <w:sz w:val="20"/>
                <w:szCs w:val="20"/>
              </w:rPr>
              <w:t>неделю</w:t>
            </w:r>
          </w:p>
        </w:tc>
      </w:tr>
      <w:tr>
        <w:trPr>
          <w:trHeight w:val="263" w:hRule="atLeast"/>
        </w:trPr>
        <w:tc>
          <w:tcPr>
            <w:tcW w:w="11071" w:type="dxa"/>
            <w:gridSpan w:val="21"/>
            <w:tcBorders>
              <w:top w:val="single" w:sz="4" w:space="0" w:color="000000"/>
              <w:left w:val="single" w:sz="4" w:space="0" w:color="000000"/>
              <w:bottom w:val="single" w:sz="4" w:space="0" w:color="000000"/>
              <w:right w:val="single" w:sz="4" w:space="0" w:color="000000"/>
            </w:tcBorders>
            <w:shd w:fill="auto" w:val="clear"/>
          </w:tcPr>
          <w:p>
            <w:pPr>
              <w:pStyle w:val="Normal"/>
              <w:jc w:val="center"/>
              <w:rPr>
                <w:i/>
                <w:i/>
                <w:sz w:val="20"/>
                <w:szCs w:val="20"/>
              </w:rPr>
            </w:pPr>
            <w:r>
              <w:rPr>
                <w:b/>
                <w:bCs/>
                <w:i/>
                <w:sz w:val="20"/>
                <w:szCs w:val="20"/>
              </w:rPr>
              <w:t>1. Обязательная часть</w:t>
            </w:r>
          </w:p>
        </w:tc>
      </w:tr>
      <w:tr>
        <w:trPr>
          <w:trHeight w:val="315" w:hRule="atLeast"/>
        </w:trPr>
        <w:tc>
          <w:tcPr>
            <w:tcW w:w="1999" w:type="dxa"/>
            <w:vMerge w:val="restart"/>
            <w:tcBorders>
              <w:left w:val="single" w:sz="4" w:space="0" w:color="000000"/>
              <w:right w:val="single" w:sz="4" w:space="0" w:color="000000"/>
            </w:tcBorders>
            <w:shd w:color="auto" w:fill="auto" w:val="clear"/>
          </w:tcPr>
          <w:p>
            <w:pPr>
              <w:pStyle w:val="Normal"/>
              <w:jc w:val="center"/>
              <w:rPr>
                <w:b/>
                <w:b/>
                <w:bCs/>
                <w:sz w:val="20"/>
                <w:szCs w:val="20"/>
              </w:rPr>
            </w:pPr>
            <w:r>
              <w:rPr>
                <w:b/>
                <w:bCs/>
                <w:sz w:val="20"/>
                <w:szCs w:val="20"/>
              </w:rPr>
              <w:t>Русский язык и литературное чтение</w:t>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Русский язык</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165</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5</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136</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136</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136</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r>
      <w:tr>
        <w:trPr>
          <w:trHeight w:val="315" w:hRule="atLeast"/>
        </w:trPr>
        <w:tc>
          <w:tcPr>
            <w:tcW w:w="1999" w:type="dxa"/>
            <w:vMerge w:val="continue"/>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Литературное чтение</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132</w:t>
            </w:r>
          </w:p>
        </w:tc>
        <w:tc>
          <w:tcPr>
            <w:tcW w:w="850" w:type="dxa"/>
            <w:gridSpan w:val="2"/>
            <w:tcBorders>
              <w:bottom w:val="single" w:sz="4" w:space="0" w:color="000000"/>
              <w:right w:val="single" w:sz="4" w:space="0" w:color="000000"/>
            </w:tcBorders>
            <w:shd w:color="auto" w:fill="auto" w:val="clear"/>
          </w:tcPr>
          <w:p>
            <w:pPr>
              <w:pStyle w:val="Normal"/>
              <w:jc w:val="center"/>
              <w:rPr/>
            </w:pPr>
            <w:r>
              <w:rPr>
                <w:sz w:val="20"/>
                <w:szCs w:val="20"/>
              </w:rPr>
              <w:t>5</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102</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3</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102</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3</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102</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3</w:t>
            </w:r>
          </w:p>
        </w:tc>
      </w:tr>
      <w:tr>
        <w:trPr>
          <w:trHeight w:val="315" w:hRule="atLeast"/>
        </w:trPr>
        <w:tc>
          <w:tcPr>
            <w:tcW w:w="1999" w:type="dxa"/>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sz w:val="20"/>
                <w:szCs w:val="20"/>
              </w:rPr>
              <w:t>Иностранный язык</w:t>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Иностранный язык </w:t>
            </w:r>
          </w:p>
          <w:p>
            <w:pPr>
              <w:pStyle w:val="Normal"/>
              <w:jc w:val="center"/>
              <w:rPr>
                <w:sz w:val="20"/>
                <w:szCs w:val="20"/>
              </w:rPr>
            </w:pPr>
            <w:r>
              <w:rPr>
                <w:sz w:val="20"/>
                <w:szCs w:val="20"/>
              </w:rPr>
              <w:t xml:space="preserve">(английский язык) </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68</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68</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68</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467" w:hRule="atLeast"/>
        </w:trPr>
        <w:tc>
          <w:tcPr>
            <w:tcW w:w="1999" w:type="dxa"/>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 xml:space="preserve">Математика и </w:t>
            </w:r>
          </w:p>
          <w:p>
            <w:pPr>
              <w:pStyle w:val="Normal"/>
              <w:jc w:val="center"/>
              <w:rPr>
                <w:b/>
                <w:b/>
                <w:bCs/>
                <w:sz w:val="20"/>
                <w:szCs w:val="20"/>
              </w:rPr>
            </w:pPr>
            <w:r>
              <w:rPr>
                <w:b/>
                <w:bCs/>
                <w:sz w:val="20"/>
                <w:szCs w:val="20"/>
              </w:rPr>
              <w:t>информатика</w:t>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Математика</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132</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136</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136</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136</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4</w:t>
            </w:r>
          </w:p>
        </w:tc>
      </w:tr>
      <w:tr>
        <w:trPr>
          <w:trHeight w:val="630" w:hRule="atLeast"/>
        </w:trPr>
        <w:tc>
          <w:tcPr>
            <w:tcW w:w="1999" w:type="dxa"/>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Обществознание и естествознание</w:t>
            </w:r>
          </w:p>
          <w:p>
            <w:pPr>
              <w:pStyle w:val="Normal"/>
              <w:jc w:val="center"/>
              <w:rPr>
                <w:b/>
                <w:b/>
                <w:bCs/>
                <w:sz w:val="20"/>
                <w:szCs w:val="20"/>
              </w:rPr>
            </w:pPr>
            <w:r>
              <w:rPr>
                <w:b/>
                <w:bCs/>
                <w:sz w:val="20"/>
                <w:szCs w:val="20"/>
              </w:rPr>
              <w:t>(Окружающий мир)</w:t>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Окружающий мир</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66</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68</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68</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68</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120" w:hRule="atLeast"/>
        </w:trPr>
        <w:tc>
          <w:tcPr>
            <w:tcW w:w="1999" w:type="dxa"/>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Основы религиозных культур и светской этики</w:t>
            </w:r>
          </w:p>
        </w:tc>
        <w:tc>
          <w:tcPr>
            <w:tcW w:w="2265" w:type="dxa"/>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Основы  религиозных культур и светской этики</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180" w:hRule="atLeast"/>
        </w:trPr>
        <w:tc>
          <w:tcPr>
            <w:tcW w:w="19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Искусство</w:t>
            </w:r>
          </w:p>
        </w:tc>
        <w:tc>
          <w:tcPr>
            <w:tcW w:w="2265"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Музыка</w:t>
            </w:r>
          </w:p>
        </w:tc>
        <w:tc>
          <w:tcPr>
            <w:tcW w:w="850" w:type="dxa"/>
            <w:gridSpan w:val="2"/>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33</w:t>
            </w:r>
          </w:p>
        </w:tc>
        <w:tc>
          <w:tcPr>
            <w:tcW w:w="850" w:type="dxa"/>
            <w:gridSpan w:val="2"/>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707" w:type="dxa"/>
            <w:gridSpan w:val="3"/>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707" w:type="dxa"/>
            <w:gridSpan w:val="3"/>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851" w:type="dxa"/>
            <w:gridSpan w:val="2"/>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849" w:type="dxa"/>
            <w:gridSpan w:val="3"/>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1000" w:type="dxa"/>
            <w:gridSpan w:val="2"/>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445" w:hRule="atLeast"/>
        </w:trPr>
        <w:tc>
          <w:tcPr>
            <w:tcW w:w="1999" w:type="dxa"/>
            <w:vMerge w:val="continue"/>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 xml:space="preserve">Изобразительное </w:t>
            </w:r>
          </w:p>
          <w:p>
            <w:pPr>
              <w:pStyle w:val="Normal"/>
              <w:jc w:val="center"/>
              <w:rPr>
                <w:sz w:val="20"/>
                <w:szCs w:val="20"/>
              </w:rPr>
            </w:pPr>
            <w:r>
              <w:rPr>
                <w:sz w:val="20"/>
                <w:szCs w:val="20"/>
              </w:rPr>
              <w:t>искусство</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33</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315" w:hRule="atLeast"/>
        </w:trPr>
        <w:tc>
          <w:tcPr>
            <w:tcW w:w="1999" w:type="dxa"/>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Технология</w:t>
            </w:r>
          </w:p>
        </w:tc>
        <w:tc>
          <w:tcPr>
            <w:tcW w:w="2265" w:type="dxa"/>
            <w:tcBorders>
              <w:bottom w:val="single" w:sz="4" w:space="0" w:color="000000"/>
              <w:right w:val="single" w:sz="4" w:space="0" w:color="000000"/>
            </w:tcBorders>
            <w:shd w:color="auto" w:fill="auto" w:val="clear"/>
          </w:tcPr>
          <w:p>
            <w:pPr>
              <w:pStyle w:val="Normal"/>
              <w:jc w:val="center"/>
              <w:rPr>
                <w:sz w:val="20"/>
                <w:szCs w:val="20"/>
              </w:rPr>
            </w:pPr>
            <w:r>
              <w:rPr>
                <w:sz w:val="20"/>
                <w:szCs w:val="20"/>
              </w:rPr>
              <w:t>Технология</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33</w:t>
            </w:r>
          </w:p>
        </w:tc>
        <w:tc>
          <w:tcPr>
            <w:tcW w:w="85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993"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707"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851"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c>
          <w:tcPr>
            <w:tcW w:w="849" w:type="dxa"/>
            <w:gridSpan w:val="3"/>
            <w:tcBorders>
              <w:bottom w:val="single" w:sz="4" w:space="0" w:color="000000"/>
              <w:right w:val="single" w:sz="4" w:space="0" w:color="000000"/>
            </w:tcBorders>
            <w:shd w:color="auto" w:fill="auto" w:val="clear"/>
          </w:tcPr>
          <w:p>
            <w:pPr>
              <w:pStyle w:val="Normal"/>
              <w:jc w:val="center"/>
              <w:rPr>
                <w:sz w:val="20"/>
                <w:szCs w:val="20"/>
              </w:rPr>
            </w:pPr>
            <w:r>
              <w:rPr>
                <w:sz w:val="20"/>
                <w:szCs w:val="20"/>
              </w:rPr>
              <w:t>34</w:t>
            </w:r>
          </w:p>
        </w:tc>
        <w:tc>
          <w:tcPr>
            <w:tcW w:w="1000" w:type="dxa"/>
            <w:gridSpan w:val="2"/>
            <w:tcBorders>
              <w:bottom w:val="single" w:sz="4" w:space="0" w:color="000000"/>
              <w:right w:val="single" w:sz="4" w:space="0" w:color="000000"/>
            </w:tcBorders>
            <w:shd w:color="auto" w:fill="auto" w:val="clear"/>
          </w:tcPr>
          <w:p>
            <w:pPr>
              <w:pStyle w:val="Normal"/>
              <w:jc w:val="center"/>
              <w:rPr>
                <w:sz w:val="20"/>
                <w:szCs w:val="20"/>
              </w:rPr>
            </w:pPr>
            <w:r>
              <w:rPr>
                <w:sz w:val="20"/>
                <w:szCs w:val="20"/>
              </w:rPr>
              <w:t>1</w:t>
            </w:r>
          </w:p>
        </w:tc>
      </w:tr>
      <w:tr>
        <w:trPr>
          <w:trHeight w:val="330" w:hRule="atLeast"/>
        </w:trPr>
        <w:tc>
          <w:tcPr>
            <w:tcW w:w="1999" w:type="dxa"/>
            <w:tcBorders>
              <w:left w:val="single" w:sz="4" w:space="0" w:color="000000"/>
              <w:bottom w:val="single" w:sz="8" w:space="0" w:color="000000"/>
              <w:right w:val="single" w:sz="4" w:space="0" w:color="000000"/>
            </w:tcBorders>
            <w:shd w:color="auto" w:fill="auto" w:val="clear"/>
          </w:tcPr>
          <w:p>
            <w:pPr>
              <w:pStyle w:val="Normal"/>
              <w:jc w:val="center"/>
              <w:rPr>
                <w:b/>
                <w:b/>
                <w:sz w:val="20"/>
                <w:szCs w:val="20"/>
              </w:rPr>
            </w:pPr>
            <w:r>
              <w:rPr>
                <w:b/>
                <w:sz w:val="20"/>
                <w:szCs w:val="20"/>
              </w:rPr>
              <w:t xml:space="preserve">Физическая </w:t>
            </w:r>
          </w:p>
          <w:p>
            <w:pPr>
              <w:pStyle w:val="Normal"/>
              <w:jc w:val="center"/>
              <w:rPr>
                <w:b/>
                <w:b/>
                <w:sz w:val="20"/>
                <w:szCs w:val="20"/>
              </w:rPr>
            </w:pPr>
            <w:r>
              <w:rPr>
                <w:b/>
                <w:sz w:val="20"/>
                <w:szCs w:val="20"/>
              </w:rPr>
              <w:t>культура</w:t>
            </w:r>
          </w:p>
        </w:tc>
        <w:tc>
          <w:tcPr>
            <w:tcW w:w="2265" w:type="dxa"/>
            <w:tcBorders>
              <w:bottom w:val="single" w:sz="8" w:space="0" w:color="000000"/>
              <w:right w:val="single" w:sz="4" w:space="0" w:color="000000"/>
            </w:tcBorders>
            <w:shd w:color="auto" w:fill="auto" w:val="clear"/>
          </w:tcPr>
          <w:p>
            <w:pPr>
              <w:pStyle w:val="Normal"/>
              <w:jc w:val="center"/>
              <w:rPr>
                <w:sz w:val="20"/>
                <w:szCs w:val="20"/>
              </w:rPr>
            </w:pPr>
            <w:r>
              <w:rPr>
                <w:sz w:val="20"/>
                <w:szCs w:val="20"/>
              </w:rPr>
              <w:t>Физическая культура</w:t>
            </w:r>
          </w:p>
        </w:tc>
        <w:tc>
          <w:tcPr>
            <w:tcW w:w="850" w:type="dxa"/>
            <w:gridSpan w:val="2"/>
            <w:tcBorders>
              <w:bottom w:val="single" w:sz="8" w:space="0" w:color="000000"/>
              <w:right w:val="single" w:sz="4" w:space="0" w:color="000000"/>
            </w:tcBorders>
            <w:shd w:color="auto" w:fill="auto" w:val="clear"/>
          </w:tcPr>
          <w:p>
            <w:pPr>
              <w:pStyle w:val="Normal"/>
              <w:jc w:val="center"/>
              <w:rPr>
                <w:sz w:val="20"/>
                <w:szCs w:val="20"/>
              </w:rPr>
            </w:pPr>
            <w:r>
              <w:rPr>
                <w:sz w:val="20"/>
                <w:szCs w:val="20"/>
              </w:rPr>
              <w:t>99</w:t>
            </w:r>
          </w:p>
        </w:tc>
        <w:tc>
          <w:tcPr>
            <w:tcW w:w="850" w:type="dxa"/>
            <w:gridSpan w:val="2"/>
            <w:tcBorders>
              <w:bottom w:val="single" w:sz="8" w:space="0" w:color="000000"/>
              <w:right w:val="single" w:sz="4" w:space="0" w:color="000000"/>
            </w:tcBorders>
            <w:shd w:color="auto" w:fill="auto" w:val="clear"/>
          </w:tcPr>
          <w:p>
            <w:pPr>
              <w:pStyle w:val="Normal"/>
              <w:jc w:val="center"/>
              <w:rPr/>
            </w:pPr>
            <w:r>
              <w:rPr>
                <w:sz w:val="20"/>
                <w:szCs w:val="20"/>
              </w:rPr>
              <w:t>2</w:t>
            </w:r>
          </w:p>
        </w:tc>
        <w:tc>
          <w:tcPr>
            <w:tcW w:w="707" w:type="dxa"/>
            <w:gridSpan w:val="3"/>
            <w:tcBorders>
              <w:bottom w:val="single" w:sz="8" w:space="0" w:color="000000"/>
              <w:right w:val="single" w:sz="4" w:space="0" w:color="000000"/>
            </w:tcBorders>
            <w:shd w:color="auto" w:fill="auto" w:val="clear"/>
          </w:tcPr>
          <w:p>
            <w:pPr>
              <w:pStyle w:val="Normal"/>
              <w:jc w:val="center"/>
              <w:rPr>
                <w:sz w:val="20"/>
                <w:szCs w:val="20"/>
              </w:rPr>
            </w:pPr>
            <w:r>
              <w:rPr>
                <w:sz w:val="20"/>
                <w:szCs w:val="20"/>
              </w:rPr>
              <w:t>68</w:t>
            </w:r>
          </w:p>
        </w:tc>
        <w:tc>
          <w:tcPr>
            <w:tcW w:w="993" w:type="dxa"/>
            <w:gridSpan w:val="2"/>
            <w:tcBorders>
              <w:bottom w:val="single" w:sz="8" w:space="0" w:color="000000"/>
              <w:right w:val="single" w:sz="4" w:space="0" w:color="000000"/>
            </w:tcBorders>
            <w:shd w:color="auto" w:fill="auto" w:val="clear"/>
          </w:tcPr>
          <w:p>
            <w:pPr>
              <w:pStyle w:val="Normal"/>
              <w:jc w:val="center"/>
              <w:rPr>
                <w:sz w:val="20"/>
                <w:szCs w:val="20"/>
              </w:rPr>
            </w:pPr>
            <w:r>
              <w:rPr>
                <w:sz w:val="20"/>
                <w:szCs w:val="20"/>
              </w:rPr>
              <w:t>2</w:t>
            </w:r>
          </w:p>
        </w:tc>
        <w:tc>
          <w:tcPr>
            <w:tcW w:w="707" w:type="dxa"/>
            <w:gridSpan w:val="3"/>
            <w:tcBorders>
              <w:bottom w:val="single" w:sz="8" w:space="0" w:color="000000"/>
              <w:right w:val="single" w:sz="4" w:space="0" w:color="000000"/>
            </w:tcBorders>
            <w:shd w:color="auto" w:fill="auto" w:val="clear"/>
          </w:tcPr>
          <w:p>
            <w:pPr>
              <w:pStyle w:val="Normal"/>
              <w:jc w:val="center"/>
              <w:rPr>
                <w:sz w:val="20"/>
                <w:szCs w:val="20"/>
              </w:rPr>
            </w:pPr>
            <w:r>
              <w:rPr>
                <w:sz w:val="20"/>
                <w:szCs w:val="20"/>
              </w:rPr>
              <w:t>68</w:t>
            </w:r>
          </w:p>
        </w:tc>
        <w:tc>
          <w:tcPr>
            <w:tcW w:w="851" w:type="dxa"/>
            <w:gridSpan w:val="2"/>
            <w:tcBorders>
              <w:bottom w:val="single" w:sz="8" w:space="0" w:color="000000"/>
              <w:right w:val="single" w:sz="4" w:space="0" w:color="000000"/>
            </w:tcBorders>
            <w:shd w:color="auto" w:fill="auto" w:val="clear"/>
          </w:tcPr>
          <w:p>
            <w:pPr>
              <w:pStyle w:val="Normal"/>
              <w:jc w:val="center"/>
              <w:rPr>
                <w:sz w:val="20"/>
                <w:szCs w:val="20"/>
              </w:rPr>
            </w:pPr>
            <w:r>
              <w:rPr>
                <w:sz w:val="20"/>
                <w:szCs w:val="20"/>
              </w:rPr>
              <w:t>2</w:t>
            </w:r>
          </w:p>
        </w:tc>
        <w:tc>
          <w:tcPr>
            <w:tcW w:w="849" w:type="dxa"/>
            <w:gridSpan w:val="3"/>
            <w:tcBorders>
              <w:bottom w:val="single" w:sz="8" w:space="0" w:color="000000"/>
              <w:right w:val="single" w:sz="4" w:space="0" w:color="000000"/>
            </w:tcBorders>
            <w:shd w:color="auto" w:fill="auto" w:val="clear"/>
          </w:tcPr>
          <w:p>
            <w:pPr>
              <w:pStyle w:val="Normal"/>
              <w:jc w:val="center"/>
              <w:rPr>
                <w:sz w:val="20"/>
                <w:szCs w:val="20"/>
              </w:rPr>
            </w:pPr>
            <w:r>
              <w:rPr>
                <w:sz w:val="20"/>
                <w:szCs w:val="20"/>
              </w:rPr>
              <w:t>68</w:t>
            </w:r>
          </w:p>
        </w:tc>
        <w:tc>
          <w:tcPr>
            <w:tcW w:w="1000" w:type="dxa"/>
            <w:gridSpan w:val="2"/>
            <w:tcBorders>
              <w:bottom w:val="single" w:sz="8" w:space="0" w:color="000000"/>
              <w:right w:val="single" w:sz="4" w:space="0" w:color="000000"/>
            </w:tcBorders>
            <w:shd w:color="auto" w:fill="auto" w:val="clear"/>
          </w:tcPr>
          <w:p>
            <w:pPr>
              <w:pStyle w:val="Normal"/>
              <w:jc w:val="center"/>
              <w:rPr>
                <w:sz w:val="20"/>
                <w:szCs w:val="20"/>
              </w:rPr>
            </w:pPr>
            <w:r>
              <w:rPr>
                <w:sz w:val="20"/>
                <w:szCs w:val="20"/>
              </w:rPr>
              <w:t>2</w:t>
            </w:r>
          </w:p>
        </w:tc>
      </w:tr>
      <w:tr>
        <w:trPr>
          <w:trHeight w:val="330" w:hRule="atLeast"/>
        </w:trPr>
        <w:tc>
          <w:tcPr>
            <w:tcW w:w="4267" w:type="dxa"/>
            <w:gridSpan w:val="3"/>
            <w:tcBorders>
              <w:left w:val="single" w:sz="4" w:space="0" w:color="000000"/>
              <w:bottom w:val="single" w:sz="4" w:space="0" w:color="000000"/>
              <w:right w:val="single" w:sz="4" w:space="0" w:color="000000"/>
            </w:tcBorders>
            <w:shd w:color="auto" w:fill="auto" w:val="clear"/>
          </w:tcPr>
          <w:p>
            <w:pPr>
              <w:pStyle w:val="Normal"/>
              <w:jc w:val="right"/>
              <w:rPr>
                <w:b/>
                <w:b/>
                <w:bCs/>
                <w:sz w:val="20"/>
                <w:szCs w:val="20"/>
              </w:rPr>
            </w:pPr>
            <w:r>
              <w:rPr>
                <w:b/>
                <w:bCs/>
                <w:sz w:val="20"/>
                <w:szCs w:val="20"/>
              </w:rPr>
              <w:t>Итого:</w:t>
            </w:r>
          </w:p>
        </w:tc>
        <w:tc>
          <w:tcPr>
            <w:tcW w:w="849" w:type="dxa"/>
            <w:gridSpan w:val="2"/>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693</w:t>
            </w:r>
          </w:p>
        </w:tc>
        <w:tc>
          <w:tcPr>
            <w:tcW w:w="850" w:type="dxa"/>
            <w:gridSpan w:val="3"/>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21</w:t>
            </w:r>
          </w:p>
        </w:tc>
        <w:tc>
          <w:tcPr>
            <w:tcW w:w="708" w:type="dxa"/>
            <w:gridSpan w:val="2"/>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680</w:t>
            </w:r>
          </w:p>
        </w:tc>
        <w:tc>
          <w:tcPr>
            <w:tcW w:w="992" w:type="dxa"/>
            <w:gridSpan w:val="3"/>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20</w:t>
            </w:r>
          </w:p>
        </w:tc>
        <w:tc>
          <w:tcPr>
            <w:tcW w:w="707" w:type="dxa"/>
            <w:gridSpan w:val="2"/>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680</w:t>
            </w:r>
          </w:p>
        </w:tc>
        <w:tc>
          <w:tcPr>
            <w:tcW w:w="852" w:type="dxa"/>
            <w:gridSpan w:val="2"/>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20</w:t>
            </w:r>
          </w:p>
        </w:tc>
        <w:tc>
          <w:tcPr>
            <w:tcW w:w="848" w:type="dxa"/>
            <w:gridSpan w:val="3"/>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714</w:t>
            </w:r>
          </w:p>
        </w:tc>
        <w:tc>
          <w:tcPr>
            <w:tcW w:w="998" w:type="dxa"/>
            <w:tcBorders>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21</w:t>
            </w:r>
          </w:p>
        </w:tc>
      </w:tr>
      <w:tr>
        <w:trPr>
          <w:trHeight w:val="330" w:hRule="atLeast"/>
        </w:trPr>
        <w:tc>
          <w:tcPr>
            <w:tcW w:w="11071" w:type="dxa"/>
            <w:gridSpan w:val="21"/>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i/>
                <w:sz w:val="20"/>
                <w:szCs w:val="20"/>
              </w:rPr>
              <w:t>2.Часть, формируемая участниками образовательных отношений.</w:t>
            </w:r>
          </w:p>
        </w:tc>
      </w:tr>
      <w:tr>
        <w:trPr>
          <w:trHeight w:val="420" w:hRule="atLeast"/>
        </w:trPr>
        <w:tc>
          <w:tcPr>
            <w:tcW w:w="1999" w:type="dxa"/>
            <w:vMerge w:val="restart"/>
            <w:tcBorders>
              <w:left w:val="single" w:sz="4" w:space="0" w:color="000000"/>
              <w:right w:val="single" w:sz="4" w:space="0" w:color="000000"/>
            </w:tcBorders>
            <w:shd w:color="auto" w:fill="auto" w:val="clear"/>
          </w:tcPr>
          <w:p>
            <w:pPr>
              <w:pStyle w:val="Normal"/>
              <w:jc w:val="center"/>
              <w:rPr>
                <w:sz w:val="20"/>
                <w:szCs w:val="20"/>
              </w:rPr>
            </w:pPr>
            <w:r>
              <w:rPr>
                <w:b/>
                <w:bCs/>
                <w:sz w:val="20"/>
                <w:szCs w:val="20"/>
              </w:rPr>
              <w:t>Русский язык и литературное чтение</w:t>
            </w:r>
          </w:p>
        </w:tc>
        <w:tc>
          <w:tcPr>
            <w:tcW w:w="2265" w:type="dxa"/>
            <w:tcBorders>
              <w:bottom w:val="single" w:sz="4" w:space="0" w:color="000000"/>
            </w:tcBorders>
            <w:shd w:color="auto" w:fill="auto" w:val="clear"/>
          </w:tcPr>
          <w:p>
            <w:pPr>
              <w:pStyle w:val="Normal"/>
              <w:jc w:val="center"/>
              <w:rPr>
                <w:b/>
                <w:b/>
                <w:bCs/>
                <w:sz w:val="20"/>
                <w:szCs w:val="20"/>
              </w:rPr>
            </w:pPr>
            <w:r>
              <w:rPr>
                <w:sz w:val="20"/>
                <w:szCs w:val="20"/>
              </w:rPr>
              <w:t>Русский язык</w:t>
            </w:r>
          </w:p>
        </w:tc>
        <w:tc>
          <w:tcPr>
            <w:tcW w:w="850" w:type="dxa"/>
            <w:gridSpan w:val="2"/>
            <w:tcBorders>
              <w:left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c>
          <w:tcPr>
            <w:tcW w:w="850" w:type="dxa"/>
            <w:gridSpan w:val="2"/>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c>
          <w:tcPr>
            <w:tcW w:w="707" w:type="dxa"/>
            <w:gridSpan w:val="3"/>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34</w:t>
            </w:r>
          </w:p>
        </w:tc>
        <w:tc>
          <w:tcPr>
            <w:tcW w:w="993" w:type="dxa"/>
            <w:gridSpan w:val="2"/>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1</w:t>
            </w:r>
          </w:p>
        </w:tc>
        <w:tc>
          <w:tcPr>
            <w:tcW w:w="707" w:type="dxa"/>
            <w:gridSpan w:val="3"/>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34</w:t>
            </w:r>
          </w:p>
        </w:tc>
        <w:tc>
          <w:tcPr>
            <w:tcW w:w="851" w:type="dxa"/>
            <w:gridSpan w:val="2"/>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1</w:t>
            </w:r>
          </w:p>
        </w:tc>
        <w:tc>
          <w:tcPr>
            <w:tcW w:w="849" w:type="dxa"/>
            <w:gridSpan w:val="3"/>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34</w:t>
            </w:r>
          </w:p>
        </w:tc>
        <w:tc>
          <w:tcPr>
            <w:tcW w:w="1000" w:type="dxa"/>
            <w:gridSpan w:val="2"/>
            <w:tcBorders>
              <w:bottom w:val="single" w:sz="4" w:space="0" w:color="000000"/>
              <w:right w:val="single" w:sz="4" w:space="0" w:color="000000"/>
            </w:tcBorders>
            <w:shd w:color="auto" w:fill="auto" w:val="clear"/>
          </w:tcPr>
          <w:p>
            <w:pPr>
              <w:pStyle w:val="Normal"/>
              <w:jc w:val="center"/>
              <w:rPr>
                <w:bCs/>
                <w:sz w:val="20"/>
                <w:szCs w:val="20"/>
              </w:rPr>
            </w:pPr>
            <w:r>
              <w:rPr>
                <w:bCs/>
                <w:sz w:val="20"/>
                <w:szCs w:val="20"/>
              </w:rPr>
              <w:t>1</w:t>
            </w:r>
          </w:p>
        </w:tc>
      </w:tr>
      <w:tr>
        <w:trPr>
          <w:trHeight w:val="258" w:hRule="atLeast"/>
        </w:trPr>
        <w:tc>
          <w:tcPr>
            <w:tcW w:w="1999" w:type="dxa"/>
            <w:vMerge w:val="continue"/>
            <w:tcBorders>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r>
          </w:p>
        </w:tc>
        <w:tc>
          <w:tcPr>
            <w:tcW w:w="2265" w:type="dxa"/>
            <w:tcBorders>
              <w:top w:val="single" w:sz="4" w:space="0" w:color="000000"/>
              <w:bottom w:val="single" w:sz="8" w:space="0" w:color="000000"/>
            </w:tcBorders>
            <w:shd w:color="auto" w:fill="auto" w:val="clear"/>
          </w:tcPr>
          <w:p>
            <w:pPr>
              <w:pStyle w:val="Normal"/>
              <w:jc w:val="center"/>
              <w:rPr>
                <w:sz w:val="20"/>
                <w:szCs w:val="20"/>
              </w:rPr>
            </w:pPr>
            <w:r>
              <w:rPr>
                <w:sz w:val="20"/>
                <w:szCs w:val="20"/>
              </w:rPr>
              <w:t>Литературное чтение</w:t>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c>
          <w:tcPr>
            <w:tcW w:w="850" w:type="dxa"/>
            <w:gridSpan w:val="2"/>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c>
          <w:tcPr>
            <w:tcW w:w="707" w:type="dxa"/>
            <w:gridSpan w:val="3"/>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t>34</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t>1</w:t>
            </w:r>
          </w:p>
        </w:tc>
        <w:tc>
          <w:tcPr>
            <w:tcW w:w="707" w:type="dxa"/>
            <w:gridSpan w:val="3"/>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t>34</w:t>
            </w:r>
          </w:p>
        </w:tc>
        <w:tc>
          <w:tcPr>
            <w:tcW w:w="851" w:type="dxa"/>
            <w:gridSpan w:val="2"/>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t>1</w:t>
            </w:r>
          </w:p>
        </w:tc>
        <w:tc>
          <w:tcPr>
            <w:tcW w:w="849" w:type="dxa"/>
            <w:gridSpan w:val="3"/>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c>
          <w:tcPr>
            <w:tcW w:w="1000" w:type="dxa"/>
            <w:gridSpan w:val="2"/>
            <w:tcBorders>
              <w:top w:val="single" w:sz="4" w:space="0" w:color="000000"/>
              <w:bottom w:val="single" w:sz="4" w:space="0" w:color="000000"/>
              <w:right w:val="single" w:sz="4" w:space="0" w:color="000000"/>
            </w:tcBorders>
            <w:shd w:color="auto" w:fill="auto" w:val="clear"/>
          </w:tcPr>
          <w:p>
            <w:pPr>
              <w:pStyle w:val="Normal"/>
              <w:jc w:val="center"/>
              <w:rPr>
                <w:bCs/>
                <w:sz w:val="20"/>
                <w:szCs w:val="20"/>
              </w:rPr>
            </w:pPr>
            <w:r>
              <w:rPr>
                <w:bCs/>
                <w:sz w:val="20"/>
                <w:szCs w:val="20"/>
              </w:rPr>
            </w:r>
          </w:p>
        </w:tc>
      </w:tr>
      <w:tr>
        <w:trPr>
          <w:trHeight w:val="120" w:hRule="atLeast"/>
        </w:trPr>
        <w:tc>
          <w:tcPr>
            <w:tcW w:w="1999" w:type="dxa"/>
            <w:tcBorders>
              <w:left w:val="single" w:sz="4" w:space="0" w:color="000000"/>
              <w:bottom w:val="single" w:sz="4" w:space="0" w:color="000000"/>
              <w:right w:val="single" w:sz="4" w:space="0" w:color="000000"/>
            </w:tcBorders>
            <w:shd w:color="auto" w:fill="auto" w:val="clear"/>
          </w:tcPr>
          <w:p>
            <w:pPr>
              <w:pStyle w:val="Normal"/>
              <w:jc w:val="center"/>
              <w:rPr>
                <w:b/>
                <w:b/>
                <w:sz w:val="20"/>
                <w:szCs w:val="20"/>
              </w:rPr>
            </w:pPr>
            <w:r>
              <w:rPr>
                <w:b/>
                <w:sz w:val="20"/>
                <w:szCs w:val="20"/>
              </w:rPr>
              <w:t xml:space="preserve">Физическая </w:t>
            </w:r>
          </w:p>
          <w:p>
            <w:pPr>
              <w:pStyle w:val="Normal"/>
              <w:jc w:val="center"/>
              <w:rPr>
                <w:b/>
                <w:b/>
                <w:sz w:val="20"/>
                <w:szCs w:val="20"/>
              </w:rPr>
            </w:pPr>
            <w:r>
              <w:rPr>
                <w:b/>
                <w:sz w:val="20"/>
                <w:szCs w:val="20"/>
              </w:rPr>
              <w:t>культура</w:t>
            </w:r>
          </w:p>
        </w:tc>
        <w:tc>
          <w:tcPr>
            <w:tcW w:w="2265"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Физическая культура</w:t>
            </w:r>
          </w:p>
        </w:tc>
        <w:tc>
          <w:tcPr>
            <w:tcW w:w="850" w:type="dxa"/>
            <w:gridSpan w:val="2"/>
            <w:tcBorders>
              <w:left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r>
          </w:p>
        </w:tc>
        <w:tc>
          <w:tcPr>
            <w:tcW w:w="850" w:type="dxa"/>
            <w:gridSpan w:val="2"/>
            <w:tcBorders>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r>
          </w:p>
        </w:tc>
        <w:tc>
          <w:tcPr>
            <w:tcW w:w="707" w:type="dxa"/>
            <w:gridSpan w:val="3"/>
            <w:tcBorders>
              <w:bottom w:val="single" w:sz="4" w:space="0" w:color="000000"/>
              <w:right w:val="single" w:sz="4" w:space="0" w:color="000000"/>
            </w:tcBorders>
            <w:shd w:color="auto" w:fill="auto" w:val="clear"/>
          </w:tcPr>
          <w:p>
            <w:pPr>
              <w:pStyle w:val="Normal"/>
              <w:jc w:val="center"/>
              <w:rPr>
                <w:bCs/>
                <w:sz w:val="22"/>
                <w:szCs w:val="22"/>
              </w:rPr>
            </w:pPr>
            <w:r>
              <w:rPr>
                <w:bCs/>
                <w:sz w:val="22"/>
                <w:szCs w:val="22"/>
              </w:rPr>
              <w:t>34</w:t>
            </w:r>
          </w:p>
        </w:tc>
        <w:tc>
          <w:tcPr>
            <w:tcW w:w="993" w:type="dxa"/>
            <w:gridSpan w:val="2"/>
            <w:tcBorders>
              <w:bottom w:val="single" w:sz="4" w:space="0" w:color="000000"/>
              <w:right w:val="single" w:sz="4" w:space="0" w:color="000000"/>
            </w:tcBorders>
            <w:shd w:color="auto" w:fill="auto" w:val="clear"/>
          </w:tcPr>
          <w:p>
            <w:pPr>
              <w:pStyle w:val="Normal"/>
              <w:jc w:val="center"/>
              <w:rPr>
                <w:bCs/>
                <w:sz w:val="22"/>
                <w:szCs w:val="22"/>
              </w:rPr>
            </w:pPr>
            <w:r>
              <w:rPr>
                <w:bCs/>
                <w:sz w:val="22"/>
                <w:szCs w:val="22"/>
              </w:rPr>
              <w:t>1</w:t>
            </w:r>
          </w:p>
        </w:tc>
        <w:tc>
          <w:tcPr>
            <w:tcW w:w="707" w:type="dxa"/>
            <w:gridSpan w:val="3"/>
            <w:tcBorders>
              <w:bottom w:val="single" w:sz="4" w:space="0" w:color="000000"/>
              <w:right w:val="single" w:sz="4" w:space="0" w:color="000000"/>
            </w:tcBorders>
            <w:shd w:color="auto" w:fill="auto" w:val="clear"/>
          </w:tcPr>
          <w:p>
            <w:pPr>
              <w:pStyle w:val="Normal"/>
              <w:jc w:val="center"/>
              <w:rPr>
                <w:bCs/>
                <w:sz w:val="22"/>
                <w:szCs w:val="22"/>
              </w:rPr>
            </w:pPr>
            <w:r>
              <w:rPr>
                <w:bCs/>
                <w:sz w:val="22"/>
                <w:szCs w:val="22"/>
              </w:rPr>
              <w:t>34</w:t>
            </w:r>
          </w:p>
        </w:tc>
        <w:tc>
          <w:tcPr>
            <w:tcW w:w="851" w:type="dxa"/>
            <w:gridSpan w:val="2"/>
            <w:tcBorders>
              <w:bottom w:val="single" w:sz="4" w:space="0" w:color="000000"/>
              <w:right w:val="single" w:sz="4" w:space="0" w:color="000000"/>
            </w:tcBorders>
            <w:shd w:color="auto" w:fill="auto" w:val="clear"/>
          </w:tcPr>
          <w:p>
            <w:pPr>
              <w:pStyle w:val="Normal"/>
              <w:jc w:val="center"/>
              <w:rPr>
                <w:bCs/>
                <w:sz w:val="22"/>
                <w:szCs w:val="22"/>
              </w:rPr>
            </w:pPr>
            <w:r>
              <w:rPr>
                <w:bCs/>
                <w:sz w:val="22"/>
                <w:szCs w:val="22"/>
              </w:rPr>
              <w:t>1</w:t>
            </w:r>
          </w:p>
        </w:tc>
        <w:tc>
          <w:tcPr>
            <w:tcW w:w="849" w:type="dxa"/>
            <w:gridSpan w:val="3"/>
            <w:tcBorders>
              <w:bottom w:val="single" w:sz="4" w:space="0" w:color="000000"/>
              <w:right w:val="single" w:sz="4" w:space="0" w:color="000000"/>
            </w:tcBorders>
            <w:shd w:color="auto" w:fill="auto" w:val="clear"/>
          </w:tcPr>
          <w:p>
            <w:pPr>
              <w:pStyle w:val="Normal"/>
              <w:jc w:val="center"/>
              <w:rPr>
                <w:bCs/>
                <w:sz w:val="22"/>
                <w:szCs w:val="22"/>
              </w:rPr>
            </w:pPr>
            <w:r>
              <w:rPr>
                <w:bCs/>
                <w:sz w:val="22"/>
                <w:szCs w:val="22"/>
              </w:rPr>
              <w:t>34</w:t>
            </w:r>
          </w:p>
        </w:tc>
        <w:tc>
          <w:tcPr>
            <w:tcW w:w="1000" w:type="dxa"/>
            <w:gridSpan w:val="2"/>
            <w:tcBorders>
              <w:bottom w:val="single" w:sz="4" w:space="0" w:color="000000"/>
              <w:right w:val="single" w:sz="4" w:space="0" w:color="000000"/>
            </w:tcBorders>
            <w:shd w:color="auto" w:fill="auto" w:val="clear"/>
          </w:tcPr>
          <w:p>
            <w:pPr>
              <w:pStyle w:val="Normal"/>
              <w:jc w:val="center"/>
              <w:rPr>
                <w:bCs/>
                <w:sz w:val="22"/>
                <w:szCs w:val="22"/>
              </w:rPr>
            </w:pPr>
            <w:r>
              <w:rPr>
                <w:bCs/>
                <w:sz w:val="22"/>
                <w:szCs w:val="22"/>
              </w:rPr>
              <w:t>1</w:t>
            </w:r>
          </w:p>
        </w:tc>
      </w:tr>
      <w:tr>
        <w:trPr>
          <w:trHeight w:val="132" w:hRule="atLeast"/>
        </w:trPr>
        <w:tc>
          <w:tcPr>
            <w:tcW w:w="426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b/>
                <w:b/>
                <w:bCs/>
                <w:sz w:val="22"/>
                <w:szCs w:val="22"/>
              </w:rPr>
            </w:pPr>
            <w:r>
              <w:rPr>
                <w:b/>
                <w:bCs/>
                <w:sz w:val="22"/>
                <w:szCs w:val="22"/>
              </w:rPr>
              <w:t>Всего за год:</w:t>
            </w:r>
          </w:p>
        </w:tc>
        <w:tc>
          <w:tcPr>
            <w:tcW w:w="8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693</w:t>
            </w:r>
          </w:p>
        </w:tc>
        <w:tc>
          <w:tcPr>
            <w:tcW w:w="850" w:type="dxa"/>
            <w:gridSpan w:val="3"/>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21</w:t>
            </w:r>
          </w:p>
        </w:tc>
        <w:tc>
          <w:tcPr>
            <w:tcW w:w="708" w:type="dxa"/>
            <w:gridSpan w:val="2"/>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782</w:t>
            </w:r>
          </w:p>
        </w:tc>
        <w:tc>
          <w:tcPr>
            <w:tcW w:w="992" w:type="dxa"/>
            <w:gridSpan w:val="3"/>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23</w:t>
            </w:r>
          </w:p>
        </w:tc>
        <w:tc>
          <w:tcPr>
            <w:tcW w:w="707" w:type="dxa"/>
            <w:gridSpan w:val="2"/>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782</w:t>
            </w:r>
          </w:p>
        </w:tc>
        <w:tc>
          <w:tcPr>
            <w:tcW w:w="852" w:type="dxa"/>
            <w:gridSpan w:val="2"/>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23</w:t>
            </w:r>
          </w:p>
        </w:tc>
        <w:tc>
          <w:tcPr>
            <w:tcW w:w="848" w:type="dxa"/>
            <w:gridSpan w:val="3"/>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782</w:t>
            </w:r>
          </w:p>
        </w:tc>
        <w:tc>
          <w:tcPr>
            <w:tcW w:w="998" w:type="dxa"/>
            <w:tcBorders>
              <w:top w:val="single" w:sz="4" w:space="0" w:color="000000"/>
              <w:bottom w:val="single" w:sz="4" w:space="0" w:color="000000"/>
              <w:right w:val="single" w:sz="4" w:space="0" w:color="000000"/>
            </w:tcBorders>
            <w:shd w:color="auto" w:fill="auto" w:val="clear"/>
          </w:tcPr>
          <w:p>
            <w:pPr>
              <w:pStyle w:val="Normal"/>
              <w:jc w:val="center"/>
              <w:rPr>
                <w:b/>
                <w:b/>
                <w:bCs/>
                <w:sz w:val="22"/>
                <w:szCs w:val="22"/>
              </w:rPr>
            </w:pPr>
            <w:r>
              <w:rPr>
                <w:b/>
                <w:bCs/>
                <w:sz w:val="22"/>
                <w:szCs w:val="22"/>
              </w:rPr>
              <w:t>23</w:t>
            </w:r>
          </w:p>
        </w:tc>
      </w:tr>
    </w:tbl>
    <w:p>
      <w:pPr>
        <w:pStyle w:val="Normal"/>
        <w:jc w:val="center"/>
        <w:rPr>
          <w:b/>
          <w:b/>
          <w:bCs/>
        </w:rPr>
      </w:pPr>
      <w:r>
        <w:rPr>
          <w:b/>
          <w:bCs/>
        </w:rPr>
      </w:r>
    </w:p>
    <w:p>
      <w:pPr>
        <w:pStyle w:val="Normal"/>
        <w:jc w:val="center"/>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rPr>
          <w:b/>
          <w:b/>
        </w:rPr>
      </w:pPr>
      <w:r>
        <w:rPr>
          <w:b/>
        </w:rPr>
      </w:r>
    </w:p>
    <w:p>
      <w:pPr>
        <w:pStyle w:val="Normal"/>
        <w:spacing w:lineRule="auto" w:line="276"/>
        <w:jc w:val="center"/>
        <w:rPr>
          <w:b/>
          <w:b/>
          <w:sz w:val="22"/>
          <w:szCs w:val="22"/>
        </w:rPr>
      </w:pPr>
      <w:r>
        <w:rPr>
          <w:b/>
          <w:sz w:val="22"/>
          <w:szCs w:val="22"/>
        </w:rPr>
        <w:t xml:space="preserve">Пояснительная записка </w:t>
      </w:r>
    </w:p>
    <w:p>
      <w:pPr>
        <w:pStyle w:val="Normal"/>
        <w:spacing w:lineRule="auto" w:line="276"/>
        <w:jc w:val="center"/>
        <w:rPr>
          <w:b/>
          <w:b/>
          <w:sz w:val="22"/>
          <w:szCs w:val="22"/>
        </w:rPr>
      </w:pPr>
      <w:r>
        <w:rPr>
          <w:b/>
          <w:sz w:val="22"/>
          <w:szCs w:val="22"/>
        </w:rPr>
        <w:t xml:space="preserve">к учебному плану основной общеобразовательной </w:t>
      </w:r>
    </w:p>
    <w:p>
      <w:pPr>
        <w:pStyle w:val="Normal"/>
        <w:spacing w:lineRule="auto" w:line="276"/>
        <w:jc w:val="center"/>
        <w:rPr>
          <w:b/>
          <w:b/>
          <w:sz w:val="22"/>
          <w:szCs w:val="22"/>
        </w:rPr>
      </w:pPr>
      <w:r>
        <w:rPr>
          <w:b/>
          <w:sz w:val="22"/>
          <w:szCs w:val="22"/>
        </w:rPr>
        <w:t>программы начального общего образования</w:t>
      </w:r>
    </w:p>
    <w:p>
      <w:pPr>
        <w:pStyle w:val="Normal"/>
        <w:spacing w:lineRule="auto" w:line="276"/>
        <w:jc w:val="center"/>
        <w:rPr>
          <w:b/>
          <w:b/>
          <w:sz w:val="22"/>
          <w:szCs w:val="22"/>
        </w:rPr>
      </w:pPr>
      <w:r>
        <w:rPr>
          <w:b/>
          <w:sz w:val="22"/>
          <w:szCs w:val="22"/>
        </w:rPr>
        <w:t>МОУ «Нововилговская средняя   школа №3»</w:t>
      </w:r>
    </w:p>
    <w:p>
      <w:pPr>
        <w:pStyle w:val="Normal"/>
        <w:spacing w:lineRule="auto" w:line="276"/>
        <w:jc w:val="center"/>
        <w:rPr>
          <w:b/>
          <w:b/>
          <w:sz w:val="22"/>
          <w:szCs w:val="22"/>
        </w:rPr>
      </w:pPr>
      <w:r>
        <w:rPr>
          <w:b/>
          <w:sz w:val="22"/>
          <w:szCs w:val="22"/>
        </w:rPr>
        <w:t>Прионежского муниципального района</w:t>
      </w:r>
    </w:p>
    <w:p>
      <w:pPr>
        <w:pStyle w:val="Normal"/>
        <w:spacing w:lineRule="auto" w:line="276"/>
        <w:jc w:val="center"/>
        <w:rPr>
          <w:b/>
          <w:b/>
          <w:sz w:val="22"/>
          <w:szCs w:val="22"/>
        </w:rPr>
      </w:pPr>
      <w:r>
        <w:rPr>
          <w:b/>
          <w:sz w:val="22"/>
          <w:szCs w:val="22"/>
        </w:rPr>
        <w:t>на 2021-2022 учебный год</w:t>
      </w:r>
    </w:p>
    <w:p>
      <w:pPr>
        <w:pStyle w:val="Normal"/>
        <w:spacing w:lineRule="auto" w:line="276"/>
        <w:jc w:val="center"/>
        <w:rPr/>
      </w:pPr>
      <w:r>
        <w:rPr/>
        <w:t xml:space="preserve">  </w:t>
      </w:r>
    </w:p>
    <w:p>
      <w:pPr>
        <w:pStyle w:val="Normal"/>
        <w:ind w:firstLine="709"/>
        <w:jc w:val="both"/>
        <w:rPr>
          <w:sz w:val="22"/>
          <w:szCs w:val="22"/>
        </w:rPr>
      </w:pPr>
      <w:r>
        <w:rPr>
          <w:sz w:val="22"/>
          <w:szCs w:val="22"/>
        </w:rPr>
        <w:t>Учебный план на 2021-2022  учебный год для 1-4 классов составлен с учетом следующих документов:</w:t>
      </w:r>
    </w:p>
    <w:p>
      <w:pPr>
        <w:pStyle w:val="Normal"/>
        <w:numPr>
          <w:ilvl w:val="0"/>
          <w:numId w:val="1"/>
        </w:numPr>
        <w:tabs>
          <w:tab w:val="clear" w:pos="708"/>
          <w:tab w:val="left" w:pos="-142" w:leader="none"/>
        </w:tabs>
        <w:ind w:left="170" w:right="57" w:firstLine="709"/>
        <w:jc w:val="both"/>
        <w:rPr/>
      </w:pPr>
      <w:r>
        <w:rPr>
          <w:rFonts w:ascii="YS Text" w:hAnsi="YS Text"/>
          <w:b w:val="false"/>
          <w:i w:val="false"/>
          <w:caps w:val="false"/>
          <w:smallCaps w:val="false"/>
          <w:color w:val="000000"/>
          <w:spacing w:val="0"/>
          <w:sz w:val="23"/>
        </w:rPr>
        <w:t>Нормативно-правовыми документами федерального уровня:</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Федеральным Законом от 29.12.2012 № 273-ФЗ «Об образовании в Российской Федерации»;Федеральным государственным образовательным стандартом начального общего образования,утвержденным приказом Министерства образования и науки Российской Федерации от 06.10.2009</w:t>
      </w:r>
      <w:r>
        <w:rPr>
          <w:caps w:val="false"/>
          <w:smallCaps w:val="false"/>
          <w:color w:val="000000"/>
          <w:spacing w:val="0"/>
        </w:rPr>
        <w:t xml:space="preserve">№ </w:t>
      </w:r>
      <w:r>
        <w:rPr>
          <w:rFonts w:ascii="YS Text" w:hAnsi="YS Text"/>
          <w:b w:val="false"/>
          <w:i w:val="false"/>
          <w:caps w:val="false"/>
          <w:smallCaps w:val="false"/>
          <w:color w:val="000000"/>
          <w:spacing w:val="0"/>
          <w:sz w:val="23"/>
        </w:rPr>
        <w:t>373 (далее – ФГОС начального общего образования);</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Федеральным государственным образовательным стандартом начального общего образования,утвержденным приказом Министерства просвещения Российской Федерации от 31.05.2021 № 286«Об утверждении федерального государственного образовательного стандарта начального общего</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образования»</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Федеральным государственным образовательным стандартом основного общего образования,утвержденным приказом Министерства образования и науки Российской Федерации от 17.12.2010</w:t>
      </w:r>
      <w:r>
        <w:rPr>
          <w:caps w:val="false"/>
          <w:smallCaps w:val="false"/>
          <w:color w:val="000000"/>
          <w:spacing w:val="0"/>
        </w:rPr>
        <w:t xml:space="preserve">№ </w:t>
      </w:r>
      <w:r>
        <w:rPr>
          <w:rFonts w:ascii="YS Text" w:hAnsi="YS Text"/>
          <w:b w:val="false"/>
          <w:i w:val="false"/>
          <w:caps w:val="false"/>
          <w:smallCaps w:val="false"/>
          <w:color w:val="000000"/>
          <w:spacing w:val="0"/>
          <w:sz w:val="23"/>
        </w:rPr>
        <w:t>1897 (далее – ФГОС основного общего образования) (для V-IX классов образовательныхорганизаций);</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Федеральным государственным образовательным стандартом основного общего образования,утвержденным приказом Министерства образования и науки Российской Федерации от 31.05.2021 N287 (для V-IX классов образовательных организаций);</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Федеральным государственным образовательным стандартом среднего (полного) общего</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образования, утвержденным приказом Министерства образования и науки Российской Федерации</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от 17.05.2012 № 413 (далее – ФГОС среднего общего образования) (для X – ХI) классовобразовательных организаций);</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Постановление Главного государственного санитарного врача РФ от 30.06.2020 № 16 (ред. от02.12.2020)«Обутверждениисанитарно-эпидемиологическихправил</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СП3.1/2.4.3598-20</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"Санитарно-эпидемиологические требования к устройству, содержанию и организации работыобразовательных организаций и других объектов социальной инфраструктуры для детей имолодежи в условиях распространения новой коронавирусной инфекции (COVID-19)"» (до 1 января2022 года);</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СанитарныеправилаСП2.4.3648-20«Санитарно-эпидемиологические</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требованиякорганизациям воспитания и обучения, отдыха и оздоровления детей и молодежи», утвержденныхпостановлениемГлавногогосударственногосанитарного</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врачаРоссийскойФедерацииот28.09.2020 № 28;</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Санитарные правила и нормы СанПиН 1.2.3685-21 «Гигиенические нормативы и требования кобеспечению безопасности и (или) безвредности для человека факторов среды обитания»,утвержденныхпостановлениемГлавногогосударственного</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санитарноговрачаРоссийскойФедерации от 28.01.2021 № 2;Приказом Министерства образования и науки Российской Федерации от 9.06.2016 № 699 «Об</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утвержденииперечняорганизаций,осуществляющихизданиеучебныхпособий,которыедопускаются к использованию в образовательном процессев имеющих государственнуюаккредитацию и реализующих образовательные программы общего образования образовательныхучреждениях» (с изменениями);</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Федеральным перечнем учебников, допущенных к использованию при реализации имеющихгосударственную аккредитацию образовательных программ начального общего, основного общего,среднего общего образования организациями, осуществляющими образовательную деятельность,утвержденного приказом Минпросвещения России от 20.05.2020 №254;</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Письмом МОиН РФ от 04.03.2010 № 03-413 «О методических рекомендациях по реализацииэлективных курсов»;</w:t>
      </w:r>
    </w:p>
    <w:p>
      <w:pPr>
        <w:pStyle w:val="Normal"/>
        <w:widowControl/>
        <w:numPr>
          <w:ilvl w:val="0"/>
          <w:numId w:val="1"/>
        </w:numPr>
        <w:ind w:left="0" w:right="0" w:hanging="0"/>
        <w:jc w:val="left"/>
        <w:rPr/>
      </w:pPr>
      <w:r>
        <w:rPr>
          <w:rFonts w:ascii="YS Text" w:hAnsi="YS Text"/>
          <w:b w:val="false"/>
          <w:i w:val="false"/>
          <w:caps w:val="false"/>
          <w:smallCaps w:val="false"/>
          <w:color w:val="000000"/>
          <w:spacing w:val="0"/>
          <w:sz w:val="23"/>
        </w:rPr>
        <w:t>Порядком организации и осуществления образовательной деятельности по основнымобщеобразовательным программам – образовательным программам начального общего, основногообщего и среднего общего образования, утвержденным приказом Министерства просвещения оссийской Федерации от 22.03.2021 № 115;</w:t>
      </w:r>
    </w:p>
    <w:p>
      <w:pPr>
        <w:pStyle w:val="Normal"/>
        <w:widowControl/>
        <w:numPr>
          <w:ilvl w:val="0"/>
          <w:numId w:val="0"/>
        </w:numPr>
        <w:ind w:left="99" w:right="0" w:hanging="0"/>
        <w:jc w:val="left"/>
        <w:rPr>
          <w:rFonts w:ascii="YS Text" w:hAnsi="YS Text"/>
          <w:b w:val="false"/>
          <w:b w:val="false"/>
          <w:i w:val="false"/>
          <w:i w:val="false"/>
          <w:caps w:val="false"/>
          <w:smallCaps w:val="false"/>
          <w:color w:val="000000"/>
          <w:spacing w:val="0"/>
          <w:sz w:val="23"/>
        </w:rPr>
      </w:pPr>
      <w:r>
        <w:rPr>
          <w:rFonts w:ascii="YS Text" w:hAnsi="YS Text"/>
          <w:b w:val="false"/>
          <w:i w:val="false"/>
          <w:caps w:val="false"/>
          <w:smallCaps w:val="false"/>
          <w:color w:val="000000"/>
          <w:spacing w:val="0"/>
          <w:sz w:val="23"/>
        </w:rPr>
      </w:r>
    </w:p>
    <w:p>
      <w:pPr>
        <w:pStyle w:val="Normal"/>
        <w:numPr>
          <w:ilvl w:val="0"/>
          <w:numId w:val="1"/>
        </w:numPr>
        <w:tabs>
          <w:tab w:val="clear" w:pos="708"/>
          <w:tab w:val="left" w:pos="-142" w:leader="none"/>
        </w:tabs>
        <w:spacing w:lineRule="auto" w:line="276"/>
        <w:ind w:left="170" w:right="57" w:firstLine="709"/>
        <w:jc w:val="both"/>
        <w:rPr>
          <w:sz w:val="22"/>
          <w:szCs w:val="22"/>
        </w:rPr>
      </w:pPr>
      <w:r>
        <w:rPr>
          <w:rFonts w:ascii="YS Text" w:hAnsi="YS Text"/>
          <w:b w:val="false"/>
          <w:i w:val="false"/>
          <w:caps w:val="false"/>
          <w:smallCaps w:val="false"/>
          <w:color w:val="000000"/>
          <w:spacing w:val="0"/>
          <w:sz w:val="23"/>
          <w:szCs w:val="22"/>
        </w:rPr>
        <w:t>Приказом Министерства образования и науки Российской Федерации от 22.12.2014 № 1601«О продолжительности рабочего времени (нормах часов педагогической работы за ставкузаработной платы) педагогических работников и о порядке определения учебной нагрузкипедагогических работников, оговариваемой в трудовом договоре».</w:t>
      </w:r>
    </w:p>
    <w:p>
      <w:pPr>
        <w:pStyle w:val="Normal"/>
        <w:ind w:firstLine="709"/>
        <w:jc w:val="both"/>
        <w:rPr>
          <w:sz w:val="22"/>
          <w:szCs w:val="22"/>
        </w:rPr>
      </w:pPr>
      <w:r>
        <w:rPr>
          <w:sz w:val="22"/>
          <w:szCs w:val="22"/>
        </w:rPr>
        <w:t>Учебный план определяет предельно допустимый объем аудиторной  нагрузки, состав учебных предметов, распределяет учебное время, отводимое на освоение содержания образования по классам, учебным предметам.</w:t>
      </w:r>
    </w:p>
    <w:p>
      <w:pPr>
        <w:pStyle w:val="Normal"/>
        <w:ind w:firstLine="709"/>
        <w:jc w:val="both"/>
        <w:rPr/>
      </w:pPr>
      <w:r>
        <w:rPr>
          <w:sz w:val="22"/>
          <w:szCs w:val="22"/>
        </w:rPr>
        <w:t xml:space="preserve">Учебный план для </w:t>
      </w:r>
      <w:r>
        <w:rPr>
          <w:sz w:val="22"/>
          <w:szCs w:val="22"/>
        </w:rPr>
        <w:t>1</w:t>
      </w:r>
      <w:r>
        <w:rPr>
          <w:sz w:val="22"/>
          <w:szCs w:val="22"/>
        </w:rPr>
        <w:t xml:space="preserve"> классов устанавливает четырехлетний нормативный срок освоения основной образовательной программы начального общего образования.</w:t>
      </w:r>
    </w:p>
    <w:p>
      <w:pPr>
        <w:pStyle w:val="Style19"/>
        <w:spacing w:lineRule="auto" w:line="240"/>
        <w:ind w:firstLine="709"/>
        <w:rPr>
          <w:rFonts w:ascii="Times New Roman" w:hAnsi="Times New Roman"/>
          <w:color w:val="auto"/>
          <w:sz w:val="22"/>
          <w:szCs w:val="22"/>
        </w:rPr>
      </w:pPr>
      <w:r>
        <w:rPr>
          <w:rFonts w:ascii="Times New Roman" w:hAnsi="Times New Roman"/>
          <w:color w:val="auto"/>
          <w:sz w:val="22"/>
          <w:szCs w:val="22"/>
        </w:rPr>
        <w:t>Примерный учебный план состоит из двух частей — обязательной части и части, формируемой участниками образовательных отношений.</w:t>
      </w:r>
    </w:p>
    <w:p>
      <w:pPr>
        <w:pStyle w:val="Normal"/>
        <w:ind w:firstLine="709"/>
        <w:jc w:val="both"/>
        <w:rPr>
          <w:sz w:val="22"/>
          <w:szCs w:val="22"/>
        </w:rPr>
      </w:pPr>
      <w:r>
        <w:rPr>
          <w:sz w:val="22"/>
          <w:szCs w:val="22"/>
        </w:rPr>
        <w:t xml:space="preserve">Обязательная часть представлена следующими предметными областями: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pPr>
        <w:pStyle w:val="Normal"/>
        <w:ind w:firstLine="709"/>
        <w:jc w:val="both"/>
        <w:rPr>
          <w:sz w:val="22"/>
          <w:szCs w:val="22"/>
        </w:rPr>
      </w:pPr>
      <w:r>
        <w:rPr>
          <w:sz w:val="22"/>
          <w:szCs w:val="22"/>
        </w:rPr>
        <w:t xml:space="preserve">Предметная область </w:t>
      </w:r>
      <w:r>
        <w:rPr>
          <w:b/>
          <w:sz w:val="22"/>
          <w:szCs w:val="22"/>
        </w:rPr>
        <w:t xml:space="preserve">Русский язык и литературное чтение </w:t>
      </w:r>
      <w:r>
        <w:rPr>
          <w:sz w:val="22"/>
          <w:szCs w:val="22"/>
        </w:rPr>
        <w:t xml:space="preserve"> представлена учебными предметами русский язык, литературное чтение</w:t>
      </w:r>
    </w:p>
    <w:p>
      <w:pPr>
        <w:pStyle w:val="Normal"/>
        <w:ind w:firstLine="709"/>
        <w:jc w:val="both"/>
        <w:rPr>
          <w:sz w:val="22"/>
          <w:szCs w:val="22"/>
        </w:rPr>
      </w:pPr>
      <w:r>
        <w:rPr>
          <w:sz w:val="22"/>
          <w:szCs w:val="22"/>
        </w:rPr>
        <w:t>Предметная область иностранный язык представлен учебным предметом иностранный язык и направлена на реализацию следующих целей:</w:t>
      </w:r>
    </w:p>
    <w:p>
      <w:pPr>
        <w:pStyle w:val="Normal"/>
        <w:numPr>
          <w:ilvl w:val="0"/>
          <w:numId w:val="2"/>
        </w:numPr>
        <w:tabs>
          <w:tab w:val="clear" w:pos="708"/>
          <w:tab w:val="left" w:pos="1418" w:leader="none"/>
        </w:tabs>
        <w:ind w:left="0" w:firstLine="709"/>
        <w:jc w:val="both"/>
        <w:rPr>
          <w:sz w:val="22"/>
          <w:szCs w:val="22"/>
        </w:rPr>
      </w:pPr>
      <w:r>
        <w:rPr>
          <w:sz w:val="22"/>
          <w:szCs w:val="22"/>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pPr>
        <w:pStyle w:val="Normal"/>
        <w:numPr>
          <w:ilvl w:val="0"/>
          <w:numId w:val="2"/>
        </w:numPr>
        <w:tabs>
          <w:tab w:val="clear" w:pos="708"/>
          <w:tab w:val="left" w:pos="1418" w:leader="none"/>
        </w:tabs>
        <w:ind w:left="0" w:firstLine="709"/>
        <w:jc w:val="both"/>
        <w:rPr>
          <w:sz w:val="22"/>
          <w:szCs w:val="22"/>
        </w:rPr>
      </w:pPr>
      <w:r>
        <w:rPr>
          <w:sz w:val="22"/>
          <w:szCs w:val="22"/>
        </w:rPr>
        <w:t>развитие диалогической и монологической устной и письменной речи, коммуника</w:t>
        <w:softHyphen/>
        <w:t>тивных умений, нравственных и эстетических чувств, способ</w:t>
        <w:softHyphen/>
        <w:t>ностей к творческой деятель</w:t>
        <w:softHyphen/>
        <w:t xml:space="preserve">ности.  </w:t>
      </w:r>
    </w:p>
    <w:p>
      <w:pPr>
        <w:pStyle w:val="Normal"/>
        <w:ind w:firstLine="709"/>
        <w:jc w:val="both"/>
        <w:rPr>
          <w:sz w:val="22"/>
          <w:szCs w:val="22"/>
        </w:rPr>
      </w:pPr>
      <w:r>
        <w:rPr>
          <w:sz w:val="22"/>
          <w:szCs w:val="22"/>
        </w:rPr>
        <w:t xml:space="preserve">Предметная область </w:t>
      </w:r>
      <w:r>
        <w:rPr>
          <w:b/>
          <w:sz w:val="22"/>
          <w:szCs w:val="22"/>
        </w:rPr>
        <w:t>математика и информатика</w:t>
      </w:r>
      <w:r>
        <w:rPr>
          <w:sz w:val="22"/>
          <w:szCs w:val="22"/>
        </w:rPr>
        <w:t xml:space="preserve"> представлена учебным предметом математика и направлена на развитие математической  речи,  логического и алгоритмического мышления, вообра</w:t>
        <w:softHyphen/>
        <w:t>жения, обеспечение первоначаль</w:t>
        <w:softHyphen/>
        <w:t>ных представлений о компьютер</w:t>
        <w:softHyphen/>
        <w:t xml:space="preserve">ной грамотности. </w:t>
      </w:r>
    </w:p>
    <w:p>
      <w:pPr>
        <w:pStyle w:val="Normal"/>
        <w:ind w:firstLine="709"/>
        <w:jc w:val="both"/>
        <w:rPr>
          <w:sz w:val="22"/>
          <w:szCs w:val="22"/>
        </w:rPr>
      </w:pPr>
      <w:r>
        <w:rPr>
          <w:sz w:val="22"/>
          <w:szCs w:val="22"/>
        </w:rPr>
        <w:t xml:space="preserve">Предметная область </w:t>
      </w:r>
      <w:r>
        <w:rPr>
          <w:b/>
          <w:sz w:val="22"/>
          <w:szCs w:val="22"/>
        </w:rPr>
        <w:t>обществознание и естествознание (учебный предмет «Окружающий мир»)</w:t>
      </w:r>
      <w:r>
        <w:rPr>
          <w:sz w:val="22"/>
          <w:szCs w:val="22"/>
        </w:rPr>
        <w:t xml:space="preserve"> направлена на реализацию следующих целей:</w:t>
      </w:r>
    </w:p>
    <w:p>
      <w:pPr>
        <w:pStyle w:val="Normal"/>
        <w:numPr>
          <w:ilvl w:val="0"/>
          <w:numId w:val="3"/>
        </w:numPr>
        <w:tabs>
          <w:tab w:val="clear" w:pos="708"/>
          <w:tab w:val="left" w:pos="1418" w:leader="none"/>
        </w:tabs>
        <w:ind w:left="0" w:firstLine="709"/>
        <w:jc w:val="both"/>
        <w:rPr>
          <w:sz w:val="22"/>
          <w:szCs w:val="22"/>
        </w:rPr>
      </w:pPr>
      <w:r>
        <w:rPr>
          <w:sz w:val="22"/>
          <w:szCs w:val="22"/>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pPr>
        <w:pStyle w:val="Normal"/>
        <w:numPr>
          <w:ilvl w:val="0"/>
          <w:numId w:val="3"/>
        </w:numPr>
        <w:tabs>
          <w:tab w:val="clear" w:pos="708"/>
          <w:tab w:val="left" w:pos="1418" w:leader="none"/>
        </w:tabs>
        <w:ind w:left="0" w:firstLine="709"/>
        <w:jc w:val="both"/>
        <w:rPr>
          <w:sz w:val="22"/>
          <w:szCs w:val="22"/>
        </w:rPr>
      </w:pPr>
      <w:r>
        <w:rPr>
          <w:sz w:val="22"/>
          <w:szCs w:val="22"/>
        </w:rPr>
        <w:t>осозна</w:t>
        <w:softHyphen/>
        <w:t>ние ценности, целостности и много</w:t>
        <w:softHyphen/>
        <w:t xml:space="preserve">образия окружающего мира, своего места в нем; </w:t>
      </w:r>
    </w:p>
    <w:p>
      <w:pPr>
        <w:pStyle w:val="Normal"/>
        <w:numPr>
          <w:ilvl w:val="0"/>
          <w:numId w:val="3"/>
        </w:numPr>
        <w:tabs>
          <w:tab w:val="clear" w:pos="708"/>
          <w:tab w:val="left" w:pos="1418" w:leader="none"/>
        </w:tabs>
        <w:ind w:left="0" w:firstLine="709"/>
        <w:jc w:val="both"/>
        <w:rPr>
          <w:sz w:val="22"/>
          <w:szCs w:val="22"/>
        </w:rPr>
      </w:pPr>
      <w:r>
        <w:rPr>
          <w:sz w:val="22"/>
          <w:szCs w:val="22"/>
        </w:rPr>
        <w:t xml:space="preserve">формирование модели безопасного поведения в условиях повседневной жизни и в различных опасных и чрезвычайных ситуациях; </w:t>
      </w:r>
    </w:p>
    <w:p>
      <w:pPr>
        <w:pStyle w:val="Normal"/>
        <w:numPr>
          <w:ilvl w:val="0"/>
          <w:numId w:val="3"/>
        </w:numPr>
        <w:tabs>
          <w:tab w:val="clear" w:pos="708"/>
          <w:tab w:val="left" w:pos="1418" w:leader="none"/>
        </w:tabs>
        <w:ind w:left="0" w:firstLine="709"/>
        <w:jc w:val="both"/>
        <w:rPr>
          <w:sz w:val="22"/>
          <w:szCs w:val="22"/>
        </w:rPr>
      </w:pPr>
      <w:r>
        <w:rPr>
          <w:sz w:val="22"/>
          <w:szCs w:val="22"/>
        </w:rPr>
        <w:t xml:space="preserve">формирование психологической культуры и компетенции для обеспечения эффективного и безопасного взаимодействия в социуме. </w:t>
      </w:r>
    </w:p>
    <w:p>
      <w:pPr>
        <w:pStyle w:val="Normal"/>
        <w:ind w:firstLine="709"/>
        <w:jc w:val="both"/>
        <w:rPr>
          <w:sz w:val="22"/>
          <w:szCs w:val="22"/>
        </w:rPr>
      </w:pPr>
      <w:r>
        <w:rPr>
          <w:iCs/>
          <w:sz w:val="22"/>
          <w:szCs w:val="22"/>
        </w:rPr>
        <w:t xml:space="preserve"> </w:t>
      </w:r>
      <w:r>
        <w:rPr>
          <w:sz w:val="22"/>
          <w:szCs w:val="22"/>
        </w:rPr>
        <w:t xml:space="preserve">Предметная область </w:t>
      </w:r>
      <w:r>
        <w:rPr>
          <w:b/>
          <w:sz w:val="22"/>
          <w:szCs w:val="22"/>
        </w:rPr>
        <w:t>основы религиозных культур и светской этики</w:t>
      </w:r>
      <w:r>
        <w:rPr>
          <w:sz w:val="22"/>
          <w:szCs w:val="22"/>
        </w:rPr>
        <w:t xml:space="preserve"> направлена на реализацию следующих целей:</w:t>
      </w:r>
    </w:p>
    <w:p>
      <w:pPr>
        <w:pStyle w:val="Normal"/>
        <w:numPr>
          <w:ilvl w:val="0"/>
          <w:numId w:val="4"/>
        </w:numPr>
        <w:tabs>
          <w:tab w:val="clear" w:pos="708"/>
          <w:tab w:val="left" w:pos="1418" w:leader="none"/>
        </w:tabs>
        <w:ind w:left="0" w:firstLine="709"/>
        <w:jc w:val="both"/>
        <w:rPr>
          <w:sz w:val="22"/>
          <w:szCs w:val="22"/>
        </w:rPr>
      </w:pPr>
      <w:r>
        <w:rPr>
          <w:sz w:val="22"/>
          <w:szCs w:val="22"/>
        </w:rPr>
        <w:t xml:space="preserve">воспитание способности к духовному развитию, нравственному самосовершенствованию; </w:t>
      </w:r>
    </w:p>
    <w:p>
      <w:pPr>
        <w:pStyle w:val="Normal"/>
        <w:numPr>
          <w:ilvl w:val="0"/>
          <w:numId w:val="4"/>
        </w:numPr>
        <w:tabs>
          <w:tab w:val="clear" w:pos="708"/>
          <w:tab w:val="left" w:pos="1418" w:leader="none"/>
        </w:tabs>
        <w:ind w:left="0" w:firstLine="709"/>
        <w:jc w:val="both"/>
        <w:rPr>
          <w:sz w:val="22"/>
          <w:szCs w:val="22"/>
        </w:rPr>
      </w:pPr>
      <w:r>
        <w:rPr>
          <w:sz w:val="22"/>
          <w:szCs w:val="22"/>
        </w:rPr>
        <w:t xml:space="preserve">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pPr>
        <w:pStyle w:val="Normal"/>
        <w:ind w:firstLine="709"/>
        <w:jc w:val="both"/>
        <w:rPr>
          <w:sz w:val="22"/>
          <w:szCs w:val="22"/>
        </w:rPr>
      </w:pPr>
      <w:r>
        <w:rPr>
          <w:sz w:val="22"/>
          <w:szCs w:val="22"/>
        </w:rPr>
        <w:t xml:space="preserve">В соответствии с   социальным заказом родителей (законных представителей) обучающихся  (личное заявление) предмет «Основы религиозных культур и светской этики» в 4-х классах изучается (по выбору) по   модулям  «Основы светской этики» и «Основы мировых религиозных культур». </w:t>
      </w:r>
    </w:p>
    <w:p>
      <w:pPr>
        <w:pStyle w:val="Normal"/>
        <w:ind w:firstLine="709"/>
        <w:jc w:val="both"/>
        <w:rPr>
          <w:sz w:val="22"/>
          <w:szCs w:val="22"/>
        </w:rPr>
      </w:pPr>
      <w:r>
        <w:rPr>
          <w:sz w:val="22"/>
          <w:szCs w:val="22"/>
        </w:rPr>
        <w:t xml:space="preserve"> </w:t>
      </w:r>
      <w:r>
        <w:rPr>
          <w:sz w:val="22"/>
          <w:szCs w:val="22"/>
        </w:rPr>
        <w:t xml:space="preserve">Предметная область </w:t>
      </w:r>
      <w:r>
        <w:rPr>
          <w:b/>
          <w:sz w:val="22"/>
          <w:szCs w:val="22"/>
        </w:rPr>
        <w:t>искусство</w:t>
      </w:r>
      <w:r>
        <w:rPr>
          <w:sz w:val="22"/>
          <w:szCs w:val="22"/>
        </w:rPr>
        <w:t xml:space="preserve"> представлена учебными предметами: «Музыка» и «Изобразительное искусство» и направлена на развитие способностей к художественно-образному, эмоционально-ценностному восприятию произ</w:t>
        <w:softHyphen/>
        <w:t>ведений изобразительного и музыкального искусства, выражению в творческих работах своего отношения к окружаю</w:t>
        <w:softHyphen/>
        <w:t xml:space="preserve">щему миру.  </w:t>
      </w:r>
    </w:p>
    <w:p>
      <w:pPr>
        <w:pStyle w:val="Normal"/>
        <w:ind w:firstLine="709"/>
        <w:jc w:val="both"/>
        <w:rPr>
          <w:sz w:val="22"/>
          <w:szCs w:val="22"/>
        </w:rPr>
      </w:pPr>
      <w:r>
        <w:rPr>
          <w:sz w:val="22"/>
          <w:szCs w:val="22"/>
        </w:rPr>
        <w:t>Формирование опыта как основы обучения и познания, осуществление поисково-аналити</w:t>
        <w:softHyphen/>
        <w:t>ческой деятельности для практи</w:t>
        <w:softHyphen/>
        <w:t>ческого решения прикладных задач с использованием знаний, полученных при изучении других учебных предметов, формирование перво</w:t>
        <w:softHyphen/>
        <w:t>на</w:t>
        <w:softHyphen/>
        <w:softHyphen/>
        <w:t xml:space="preserve">чального опыта практической преобразовательной деятельности реализуется через предметную область </w:t>
      </w:r>
      <w:r>
        <w:rPr>
          <w:b/>
          <w:sz w:val="22"/>
          <w:szCs w:val="22"/>
        </w:rPr>
        <w:t>технология (учебный предмет «Технология»)</w:t>
      </w:r>
      <w:r>
        <w:rPr>
          <w:sz w:val="22"/>
          <w:szCs w:val="22"/>
        </w:rPr>
        <w:t xml:space="preserve">. </w:t>
      </w:r>
    </w:p>
    <w:p>
      <w:pPr>
        <w:pStyle w:val="Normal"/>
        <w:ind w:firstLine="709"/>
        <w:jc w:val="both"/>
        <w:rPr>
          <w:sz w:val="22"/>
          <w:szCs w:val="22"/>
        </w:rPr>
      </w:pPr>
      <w:r>
        <w:rPr>
          <w:sz w:val="22"/>
          <w:szCs w:val="22"/>
        </w:rPr>
        <w:t xml:space="preserve">Предметная область </w:t>
      </w:r>
      <w:r>
        <w:rPr>
          <w:b/>
          <w:sz w:val="22"/>
          <w:szCs w:val="22"/>
        </w:rPr>
        <w:t>физическая культура</w:t>
      </w:r>
      <w:r>
        <w:rPr>
          <w:sz w:val="22"/>
          <w:szCs w:val="22"/>
        </w:rPr>
        <w:t xml:space="preserve"> направлена на укрепление здоровья, содей</w:t>
        <w:softHyphen/>
        <w:t>ствие гармоничному физичес</w:t>
        <w:softHyphen/>
        <w:t>кому, нрав</w:t>
        <w:softHyphen/>
        <w:t>ственному и социальному разви</w:t>
        <w:softHyphen/>
        <w:t>тию, успеш</w:t>
        <w:softHyphen/>
        <w:t>ному обучению, формирование первоначальных умений само</w:t>
        <w:softHyphen/>
        <w:t>регуляции средствами физичес</w:t>
        <w:softHyphen/>
        <w:t>кой культуры, на формирование установки на сохранение и укрепление здоровья, навыков здорового и безопасного образа жизни.</w:t>
      </w:r>
    </w:p>
    <w:p>
      <w:pPr>
        <w:pStyle w:val="BodyTextIndent2"/>
        <w:tabs>
          <w:tab w:val="clear" w:pos="708"/>
          <w:tab w:val="left" w:pos="-426" w:leader="none"/>
        </w:tabs>
        <w:spacing w:lineRule="auto" w:line="240" w:before="0" w:after="0"/>
        <w:ind w:left="170" w:right="57" w:firstLine="709"/>
        <w:rPr>
          <w:sz w:val="22"/>
          <w:szCs w:val="22"/>
        </w:rPr>
      </w:pPr>
      <w:r>
        <w:rPr>
          <w:sz w:val="22"/>
          <w:szCs w:val="22"/>
        </w:rPr>
        <w:t>Предусмотрено деление на группы на уроках иностранного языка в классах с количеством  20 и более человек:</w:t>
      </w:r>
    </w:p>
    <w:p>
      <w:pPr>
        <w:pStyle w:val="Normal"/>
        <w:ind w:firstLine="709"/>
        <w:jc w:val="both"/>
        <w:rPr>
          <w:sz w:val="22"/>
          <w:szCs w:val="22"/>
        </w:rPr>
      </w:pPr>
      <w:r>
        <w:rPr>
          <w:sz w:val="22"/>
          <w:szCs w:val="22"/>
        </w:rPr>
        <w:t>Иностранный язык(англ.яз)-2а,2б,3а,3б.</w:t>
      </w:r>
    </w:p>
    <w:p>
      <w:pPr>
        <w:pStyle w:val="Style19"/>
        <w:spacing w:lineRule="auto" w:line="240"/>
        <w:ind w:firstLine="709"/>
        <w:rPr>
          <w:rFonts w:ascii="Times New Roman" w:hAnsi="Times New Roman"/>
          <w:color w:val="auto"/>
          <w:sz w:val="22"/>
          <w:szCs w:val="22"/>
        </w:rPr>
      </w:pPr>
      <w:r>
        <w:rPr>
          <w:rFonts w:ascii="Times New Roman" w:hAnsi="Times New Roman"/>
          <w:color w:val="auto"/>
          <w:sz w:val="22"/>
          <w:szCs w:val="22"/>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 русский язык – 1 час в неделю (2-4 классах), литературное чтение-1 час в неделю (2-3 классах), физическая культура-1 час в неделю (2-4 классах).</w:t>
      </w:r>
    </w:p>
    <w:p>
      <w:pPr>
        <w:pStyle w:val="Normal"/>
        <w:ind w:firstLine="709"/>
        <w:jc w:val="both"/>
        <w:rPr>
          <w:sz w:val="22"/>
          <w:szCs w:val="22"/>
        </w:rPr>
      </w:pPr>
      <w:r>
        <w:rPr>
          <w:sz w:val="22"/>
          <w:szCs w:val="22"/>
        </w:rPr>
        <w:t xml:space="preserve">Организация обучения в 1-4 классах по пятидневной рабочей неделе, национально-региональный компонент реализуется в контексте изучения предметов обязательной части учебного плана. </w:t>
      </w:r>
    </w:p>
    <w:p>
      <w:pPr>
        <w:pStyle w:val="Normal"/>
        <w:ind w:firstLine="709"/>
        <w:jc w:val="both"/>
        <w:rPr>
          <w:sz w:val="22"/>
          <w:szCs w:val="22"/>
        </w:rPr>
      </w:pPr>
      <w:r>
        <w:rPr>
          <w:sz w:val="22"/>
          <w:szCs w:val="22"/>
        </w:rPr>
        <w:t xml:space="preserve">Реализация учебного плана в 1-4 классах осуществляется с использованием УМК «Школа России». </w:t>
      </w:r>
    </w:p>
    <w:p>
      <w:pPr>
        <w:pStyle w:val="Normal"/>
        <w:ind w:firstLine="709"/>
        <w:jc w:val="both"/>
        <w:rPr>
          <w:sz w:val="22"/>
          <w:szCs w:val="22"/>
        </w:rPr>
      </w:pPr>
      <w:r>
        <w:rPr>
          <w:sz w:val="22"/>
          <w:szCs w:val="22"/>
        </w:rPr>
        <w:t>Предусмотрено деление на группы во 2-4  классах на уроках иностранного языка в классах с количеством  20 и более человек.</w:t>
      </w:r>
    </w:p>
    <w:p>
      <w:pPr>
        <w:pStyle w:val="Normal"/>
        <w:ind w:firstLine="709"/>
        <w:jc w:val="both"/>
        <w:rPr>
          <w:sz w:val="22"/>
          <w:szCs w:val="22"/>
        </w:rPr>
      </w:pPr>
      <w:r>
        <w:rPr>
          <w:sz w:val="22"/>
          <w:szCs w:val="22"/>
        </w:rPr>
        <w:t>Продолжительность учебного года в 1 классе – 33 учебные недели, во 2  классах – 34 учебных недели. Продолжительность урока в 1-х классах – 35 минут, во 2-3 классах – 40 минут.</w:t>
      </w:r>
    </w:p>
    <w:p>
      <w:pPr>
        <w:pStyle w:val="Normal"/>
        <w:ind w:firstLine="709"/>
        <w:jc w:val="both"/>
        <w:rPr>
          <w:sz w:val="22"/>
          <w:szCs w:val="22"/>
        </w:rPr>
      </w:pPr>
      <w:r>
        <w:rPr>
          <w:sz w:val="22"/>
          <w:szCs w:val="22"/>
        </w:rPr>
        <w:t xml:space="preserve">Учебный план в 1-4 классах рассчитан на пятидневную учебную неделю. </w:t>
      </w:r>
    </w:p>
    <w:p>
      <w:pPr>
        <w:pStyle w:val="Normal"/>
        <w:ind w:firstLine="709"/>
        <w:jc w:val="both"/>
        <w:rPr>
          <w:sz w:val="22"/>
          <w:szCs w:val="22"/>
        </w:rPr>
      </w:pPr>
      <w:r>
        <w:rPr>
          <w:sz w:val="22"/>
          <w:szCs w:val="22"/>
        </w:rPr>
        <w:t>Продолжительность каникул – 30 календарных дней в год.</w:t>
      </w:r>
    </w:p>
    <w:p>
      <w:pPr>
        <w:pStyle w:val="Normal"/>
        <w:ind w:firstLine="709"/>
        <w:jc w:val="both"/>
        <w:rPr>
          <w:sz w:val="22"/>
          <w:szCs w:val="22"/>
        </w:rPr>
      </w:pPr>
      <w:r>
        <w:rPr>
          <w:sz w:val="22"/>
          <w:szCs w:val="22"/>
        </w:rPr>
        <w:t>При организации  учебного процесса в 1 классе     используется  «ступенчатый» режим  обучения: в первом полугодии (в сентябре, октябре -  по 3 урока в день по 35 минут каждый, с ноября  – по 4 урока по 35 минут каждый), в середине учебного дня проводится динамическая пауза продолжительностью не менее 40 минут. В середине третьей четверти  - дополнительные каникулы для первоклассников.</w:t>
      </w:r>
    </w:p>
    <w:p>
      <w:pPr>
        <w:pStyle w:val="BodyText3"/>
        <w:spacing w:before="0" w:after="0"/>
        <w:ind w:firstLine="709"/>
        <w:jc w:val="both"/>
        <w:rPr>
          <w:sz w:val="22"/>
          <w:szCs w:val="22"/>
        </w:rPr>
      </w:pPr>
      <w:r>
        <w:rPr>
          <w:sz w:val="22"/>
          <w:szCs w:val="22"/>
        </w:rPr>
        <w:t>Промежуточная аттестация в течение учебного года организуется по четвертям согласно календарному графику учебного процесса на 2021-2022  учебный год в соответствии  с Положением о формах, периодичности и порядке текущего контроля успеваемости и промежуточной аттестации обучающихся в МОУ «Нововилговская средняя школа №3». В четвертой четверти в 1-3 классах проводятся итоговые диагностические работы по русскому языку и математике, в 4 классе – итоговые диагностические работы по русскому языку, математике, окружающему миру.</w:t>
      </w:r>
    </w:p>
    <w:p>
      <w:pPr>
        <w:pStyle w:val="BodyText3"/>
        <w:spacing w:before="0" w:after="0"/>
        <w:ind w:firstLine="709"/>
        <w:jc w:val="both"/>
        <w:rPr>
          <w:sz w:val="22"/>
          <w:szCs w:val="22"/>
        </w:rPr>
      </w:pPr>
      <w:r>
        <w:rPr>
          <w:sz w:val="22"/>
          <w:szCs w:val="22"/>
        </w:rPr>
        <w:t>Учебный план основной общеобразовательной программы начального общего образования обеспечен необходимыми кадровыми, научно-методическими и материально-техническими условиями для его реализации. Для его реализации имеется необходимое учебно-методическое и информационное обеспечение.</w:t>
      </w:r>
    </w:p>
    <w:p>
      <w:pPr>
        <w:pStyle w:val="Normal"/>
        <w:ind w:firstLine="709"/>
        <w:jc w:val="both"/>
        <w:rPr>
          <w:sz w:val="22"/>
          <w:szCs w:val="22"/>
        </w:rPr>
      </w:pPr>
      <w:r>
        <w:rPr>
          <w:sz w:val="22"/>
          <w:szCs w:val="22"/>
        </w:rPr>
        <w:t xml:space="preserve">Учебный план имеет государственное финансирование в соответствии с типом ОУ (общеобразовательная школа).  </w:t>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sz w:val="22"/>
          <w:szCs w:val="22"/>
        </w:rPr>
      </w:pPr>
      <w:r>
        <w:rPr>
          <w:sz w:val="22"/>
          <w:szCs w:val="22"/>
        </w:rPr>
      </w:r>
    </w:p>
    <w:p>
      <w:pPr>
        <w:pStyle w:val="Normal"/>
        <w:ind w:firstLine="709"/>
        <w:jc w:val="both"/>
        <w:rPr/>
      </w:pPr>
      <w:r>
        <w:rPr/>
      </w:r>
    </w:p>
    <w:sectPr>
      <w:type w:val="nextPage"/>
      <w:pgSz w:w="11906" w:h="16838"/>
      <w:pgMar w:left="840"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NewtonCSanPin">
    <w:charset w:val="cc"/>
    <w:family w:val="roman"/>
    <w:pitch w:val="variable"/>
  </w:font>
  <w:font w:name="Arial">
    <w:charset w:val="cc"/>
    <w:family w:val="roman"/>
    <w:pitch w:val="variable"/>
  </w:font>
  <w:font w:name="Tahoma">
    <w:charset w:val="cc"/>
    <w:family w:val="roman"/>
    <w:pitch w:val="variable"/>
  </w:font>
  <w:font w:name="YS Text">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9"/>
        </w:tabs>
        <w:ind w:left="99" w:hanging="360"/>
      </w:pPr>
      <w:rPr>
        <w:rFonts w:ascii="Symbol" w:hAnsi="Symbol" w:cs="Symbol" w:hint="default"/>
        <w:sz w:val="22"/>
        <w:rFonts w:cs="Symbol"/>
      </w:rPr>
    </w:lvl>
    <w:lvl w:ilvl="1">
      <w:start w:val="1"/>
      <w:numFmt w:val="bullet"/>
      <w:lvlText w:val="o"/>
      <w:lvlJc w:val="left"/>
      <w:pPr>
        <w:tabs>
          <w:tab w:val="num" w:pos="819"/>
        </w:tabs>
        <w:ind w:left="819" w:hanging="360"/>
      </w:pPr>
      <w:rPr>
        <w:rFonts w:ascii="Courier New" w:hAnsi="Courier New" w:cs="Courier New" w:hint="default"/>
        <w:rFonts w:cs="Courier New"/>
      </w:rPr>
    </w:lvl>
    <w:lvl w:ilvl="2">
      <w:start w:val="1"/>
      <w:numFmt w:val="bullet"/>
      <w:lvlText w:val=""/>
      <w:lvlJc w:val="left"/>
      <w:pPr>
        <w:tabs>
          <w:tab w:val="num" w:pos="1539"/>
        </w:tabs>
        <w:ind w:left="1539" w:hanging="360"/>
      </w:pPr>
      <w:rPr>
        <w:rFonts w:ascii="Wingdings" w:hAnsi="Wingdings" w:cs="Wingdings" w:hint="default"/>
        <w:rFonts w:cs="Wingdings"/>
      </w:rPr>
    </w:lvl>
    <w:lvl w:ilvl="3">
      <w:start w:val="1"/>
      <w:numFmt w:val="bullet"/>
      <w:lvlText w:val=""/>
      <w:lvlJc w:val="left"/>
      <w:pPr>
        <w:tabs>
          <w:tab w:val="num" w:pos="2259"/>
        </w:tabs>
        <w:ind w:left="2259" w:hanging="360"/>
      </w:pPr>
      <w:rPr>
        <w:rFonts w:ascii="Symbol" w:hAnsi="Symbol" w:cs="Symbol" w:hint="default"/>
        <w:rFonts w:cs="Symbol"/>
      </w:rPr>
    </w:lvl>
    <w:lvl w:ilvl="4">
      <w:start w:val="1"/>
      <w:numFmt w:val="bullet"/>
      <w:lvlText w:val="o"/>
      <w:lvlJc w:val="left"/>
      <w:pPr>
        <w:tabs>
          <w:tab w:val="num" w:pos="2979"/>
        </w:tabs>
        <w:ind w:left="2979" w:hanging="360"/>
      </w:pPr>
      <w:rPr>
        <w:rFonts w:ascii="Courier New" w:hAnsi="Courier New" w:cs="Courier New" w:hint="default"/>
        <w:rFonts w:cs="Courier New"/>
      </w:rPr>
    </w:lvl>
    <w:lvl w:ilvl="5">
      <w:start w:val="1"/>
      <w:numFmt w:val="bullet"/>
      <w:lvlText w:val=""/>
      <w:lvlJc w:val="left"/>
      <w:pPr>
        <w:tabs>
          <w:tab w:val="num" w:pos="3699"/>
        </w:tabs>
        <w:ind w:left="3699" w:hanging="360"/>
      </w:pPr>
      <w:rPr>
        <w:rFonts w:ascii="Wingdings" w:hAnsi="Wingdings" w:cs="Wingdings" w:hint="default"/>
        <w:rFonts w:cs="Wingdings"/>
      </w:rPr>
    </w:lvl>
    <w:lvl w:ilvl="6">
      <w:start w:val="1"/>
      <w:numFmt w:val="bullet"/>
      <w:lvlText w:val=""/>
      <w:lvlJc w:val="left"/>
      <w:pPr>
        <w:tabs>
          <w:tab w:val="num" w:pos="4419"/>
        </w:tabs>
        <w:ind w:left="4419" w:hanging="360"/>
      </w:pPr>
      <w:rPr>
        <w:rFonts w:ascii="Symbol" w:hAnsi="Symbol" w:cs="Symbol" w:hint="default"/>
        <w:rFonts w:cs="Symbol"/>
      </w:rPr>
    </w:lvl>
    <w:lvl w:ilvl="7">
      <w:start w:val="1"/>
      <w:numFmt w:val="bullet"/>
      <w:lvlText w:val="o"/>
      <w:lvlJc w:val="left"/>
      <w:pPr>
        <w:tabs>
          <w:tab w:val="num" w:pos="5139"/>
        </w:tabs>
        <w:ind w:left="5139" w:hanging="360"/>
      </w:pPr>
      <w:rPr>
        <w:rFonts w:ascii="Courier New" w:hAnsi="Courier New" w:cs="Courier New" w:hint="default"/>
        <w:rFonts w:cs="Courier New"/>
      </w:rPr>
    </w:lvl>
    <w:lvl w:ilvl="8">
      <w:start w:val="1"/>
      <w:numFmt w:val="bullet"/>
      <w:lvlText w:val=""/>
      <w:lvlJc w:val="left"/>
      <w:pPr>
        <w:tabs>
          <w:tab w:val="num" w:pos="5859"/>
        </w:tabs>
        <w:ind w:left="5859" w:hanging="360"/>
      </w:pPr>
      <w:rPr>
        <w:rFonts w:ascii="Wingdings" w:hAnsi="Wingdings" w:cs="Wingdings" w:hint="default"/>
        <w:rFonts w:cs="Wingdings"/>
      </w:rPr>
    </w:lvl>
  </w:abstractNum>
  <w:abstractNum w:abstractNumId="2">
    <w:lvl w:ilvl="0">
      <w:start w:val="1"/>
      <w:numFmt w:val="bullet"/>
      <w:lvlText w:val=""/>
      <w:lvlJc w:val="left"/>
      <w:pPr>
        <w:tabs>
          <w:tab w:val="num" w:pos="833"/>
        </w:tabs>
        <w:ind w:left="833" w:hanging="360"/>
      </w:pPr>
      <w:rPr>
        <w:rFonts w:ascii="Symbol" w:hAnsi="Symbol" w:cs="Symbol" w:hint="default"/>
        <w:sz w:val="22"/>
        <w:rFonts w:cs="Symbol"/>
      </w:rPr>
    </w:lvl>
    <w:lvl w:ilvl="1">
      <w:start w:val="1"/>
      <w:numFmt w:val="bullet"/>
      <w:lvlText w:val="o"/>
      <w:lvlJc w:val="left"/>
      <w:pPr>
        <w:tabs>
          <w:tab w:val="num" w:pos="1553"/>
        </w:tabs>
        <w:ind w:left="1553" w:hanging="360"/>
      </w:pPr>
      <w:rPr>
        <w:rFonts w:ascii="Courier New" w:hAnsi="Courier New" w:cs="Courier New" w:hint="default"/>
        <w:rFonts w:cs="Courier New"/>
      </w:rPr>
    </w:lvl>
    <w:lvl w:ilvl="2">
      <w:start w:val="1"/>
      <w:numFmt w:val="bullet"/>
      <w:lvlText w:val=""/>
      <w:lvlJc w:val="left"/>
      <w:pPr>
        <w:tabs>
          <w:tab w:val="num" w:pos="2273"/>
        </w:tabs>
        <w:ind w:left="2273" w:hanging="360"/>
      </w:pPr>
      <w:rPr>
        <w:rFonts w:ascii="Wingdings" w:hAnsi="Wingdings" w:cs="Wingdings" w:hint="default"/>
        <w:rFonts w:cs="Wingdings"/>
      </w:rPr>
    </w:lvl>
    <w:lvl w:ilvl="3">
      <w:start w:val="1"/>
      <w:numFmt w:val="bullet"/>
      <w:lvlText w:val=""/>
      <w:lvlJc w:val="left"/>
      <w:pPr>
        <w:tabs>
          <w:tab w:val="num" w:pos="2993"/>
        </w:tabs>
        <w:ind w:left="2993" w:hanging="360"/>
      </w:pPr>
      <w:rPr>
        <w:rFonts w:ascii="Symbol" w:hAnsi="Symbol" w:cs="Symbol" w:hint="default"/>
        <w:rFonts w:cs="Symbol"/>
      </w:rPr>
    </w:lvl>
    <w:lvl w:ilvl="4">
      <w:start w:val="1"/>
      <w:numFmt w:val="bullet"/>
      <w:lvlText w:val="o"/>
      <w:lvlJc w:val="left"/>
      <w:pPr>
        <w:tabs>
          <w:tab w:val="num" w:pos="3713"/>
        </w:tabs>
        <w:ind w:left="3713" w:hanging="360"/>
      </w:pPr>
      <w:rPr>
        <w:rFonts w:ascii="Courier New" w:hAnsi="Courier New" w:cs="Courier New" w:hint="default"/>
        <w:rFonts w:cs="Courier New"/>
      </w:rPr>
    </w:lvl>
    <w:lvl w:ilvl="5">
      <w:start w:val="1"/>
      <w:numFmt w:val="bullet"/>
      <w:lvlText w:val=""/>
      <w:lvlJc w:val="left"/>
      <w:pPr>
        <w:tabs>
          <w:tab w:val="num" w:pos="4433"/>
        </w:tabs>
        <w:ind w:left="4433" w:hanging="360"/>
      </w:pPr>
      <w:rPr>
        <w:rFonts w:ascii="Wingdings" w:hAnsi="Wingdings" w:cs="Wingdings" w:hint="default"/>
        <w:rFonts w:cs="Wingdings"/>
      </w:rPr>
    </w:lvl>
    <w:lvl w:ilvl="6">
      <w:start w:val="1"/>
      <w:numFmt w:val="bullet"/>
      <w:lvlText w:val=""/>
      <w:lvlJc w:val="left"/>
      <w:pPr>
        <w:tabs>
          <w:tab w:val="num" w:pos="5153"/>
        </w:tabs>
        <w:ind w:left="5153" w:hanging="360"/>
      </w:pPr>
      <w:rPr>
        <w:rFonts w:ascii="Symbol" w:hAnsi="Symbol" w:cs="Symbol" w:hint="default"/>
        <w:rFonts w:cs="Symbol"/>
      </w:rPr>
    </w:lvl>
    <w:lvl w:ilvl="7">
      <w:start w:val="1"/>
      <w:numFmt w:val="bullet"/>
      <w:lvlText w:val="o"/>
      <w:lvlJc w:val="left"/>
      <w:pPr>
        <w:tabs>
          <w:tab w:val="num" w:pos="5873"/>
        </w:tabs>
        <w:ind w:left="5873" w:hanging="360"/>
      </w:pPr>
      <w:rPr>
        <w:rFonts w:ascii="Courier New" w:hAnsi="Courier New" w:cs="Courier New" w:hint="default"/>
        <w:rFonts w:cs="Courier New"/>
      </w:rPr>
    </w:lvl>
    <w:lvl w:ilvl="8">
      <w:start w:val="1"/>
      <w:numFmt w:val="bullet"/>
      <w:lvlText w:val=""/>
      <w:lvlJc w:val="left"/>
      <w:pPr>
        <w:tabs>
          <w:tab w:val="num" w:pos="6593"/>
        </w:tabs>
        <w:ind w:left="6593" w:hanging="360"/>
      </w:pPr>
      <w:rPr>
        <w:rFonts w:ascii="Wingdings" w:hAnsi="Wingdings" w:cs="Wingdings" w:hint="default"/>
        <w:rFonts w:cs="Wingdings"/>
      </w:rPr>
    </w:lvl>
  </w:abstractNum>
  <w:abstractNum w:abstractNumId="3">
    <w:lvl w:ilvl="0">
      <w:start w:val="1"/>
      <w:numFmt w:val="bullet"/>
      <w:lvlText w:val=""/>
      <w:lvlJc w:val="left"/>
      <w:pPr>
        <w:tabs>
          <w:tab w:val="num" w:pos="833"/>
        </w:tabs>
        <w:ind w:left="833" w:hanging="360"/>
      </w:pPr>
      <w:rPr>
        <w:rFonts w:ascii="Symbol" w:hAnsi="Symbol" w:cs="Symbol" w:hint="default"/>
        <w:sz w:val="22"/>
        <w:rFonts w:cs="Symbol"/>
      </w:rPr>
    </w:lvl>
    <w:lvl w:ilvl="1">
      <w:start w:val="1"/>
      <w:numFmt w:val="bullet"/>
      <w:lvlText w:val="o"/>
      <w:lvlJc w:val="left"/>
      <w:pPr>
        <w:tabs>
          <w:tab w:val="num" w:pos="1553"/>
        </w:tabs>
        <w:ind w:left="1553" w:hanging="360"/>
      </w:pPr>
      <w:rPr>
        <w:rFonts w:ascii="Courier New" w:hAnsi="Courier New" w:cs="Courier New" w:hint="default"/>
        <w:rFonts w:cs="Courier New"/>
      </w:rPr>
    </w:lvl>
    <w:lvl w:ilvl="2">
      <w:start w:val="1"/>
      <w:numFmt w:val="bullet"/>
      <w:lvlText w:val=""/>
      <w:lvlJc w:val="left"/>
      <w:pPr>
        <w:tabs>
          <w:tab w:val="num" w:pos="2273"/>
        </w:tabs>
        <w:ind w:left="2273" w:hanging="360"/>
      </w:pPr>
      <w:rPr>
        <w:rFonts w:ascii="Wingdings" w:hAnsi="Wingdings" w:cs="Wingdings" w:hint="default"/>
        <w:rFonts w:cs="Wingdings"/>
      </w:rPr>
    </w:lvl>
    <w:lvl w:ilvl="3">
      <w:start w:val="1"/>
      <w:numFmt w:val="bullet"/>
      <w:lvlText w:val=""/>
      <w:lvlJc w:val="left"/>
      <w:pPr>
        <w:tabs>
          <w:tab w:val="num" w:pos="2993"/>
        </w:tabs>
        <w:ind w:left="2993" w:hanging="360"/>
      </w:pPr>
      <w:rPr>
        <w:rFonts w:ascii="Symbol" w:hAnsi="Symbol" w:cs="Symbol" w:hint="default"/>
        <w:rFonts w:cs="Symbol"/>
      </w:rPr>
    </w:lvl>
    <w:lvl w:ilvl="4">
      <w:start w:val="1"/>
      <w:numFmt w:val="bullet"/>
      <w:lvlText w:val="o"/>
      <w:lvlJc w:val="left"/>
      <w:pPr>
        <w:tabs>
          <w:tab w:val="num" w:pos="3713"/>
        </w:tabs>
        <w:ind w:left="3713" w:hanging="360"/>
      </w:pPr>
      <w:rPr>
        <w:rFonts w:ascii="Courier New" w:hAnsi="Courier New" w:cs="Courier New" w:hint="default"/>
        <w:rFonts w:cs="Courier New"/>
      </w:rPr>
    </w:lvl>
    <w:lvl w:ilvl="5">
      <w:start w:val="1"/>
      <w:numFmt w:val="bullet"/>
      <w:lvlText w:val=""/>
      <w:lvlJc w:val="left"/>
      <w:pPr>
        <w:tabs>
          <w:tab w:val="num" w:pos="4433"/>
        </w:tabs>
        <w:ind w:left="4433" w:hanging="360"/>
      </w:pPr>
      <w:rPr>
        <w:rFonts w:ascii="Wingdings" w:hAnsi="Wingdings" w:cs="Wingdings" w:hint="default"/>
        <w:rFonts w:cs="Wingdings"/>
      </w:rPr>
    </w:lvl>
    <w:lvl w:ilvl="6">
      <w:start w:val="1"/>
      <w:numFmt w:val="bullet"/>
      <w:lvlText w:val=""/>
      <w:lvlJc w:val="left"/>
      <w:pPr>
        <w:tabs>
          <w:tab w:val="num" w:pos="5153"/>
        </w:tabs>
        <w:ind w:left="5153" w:hanging="360"/>
      </w:pPr>
      <w:rPr>
        <w:rFonts w:ascii="Symbol" w:hAnsi="Symbol" w:cs="Symbol" w:hint="default"/>
        <w:rFonts w:cs="Symbol"/>
      </w:rPr>
    </w:lvl>
    <w:lvl w:ilvl="7">
      <w:start w:val="1"/>
      <w:numFmt w:val="bullet"/>
      <w:lvlText w:val="o"/>
      <w:lvlJc w:val="left"/>
      <w:pPr>
        <w:tabs>
          <w:tab w:val="num" w:pos="5873"/>
        </w:tabs>
        <w:ind w:left="5873" w:hanging="360"/>
      </w:pPr>
      <w:rPr>
        <w:rFonts w:ascii="Courier New" w:hAnsi="Courier New" w:cs="Courier New" w:hint="default"/>
        <w:rFonts w:cs="Courier New"/>
      </w:rPr>
    </w:lvl>
    <w:lvl w:ilvl="8">
      <w:start w:val="1"/>
      <w:numFmt w:val="bullet"/>
      <w:lvlText w:val=""/>
      <w:lvlJc w:val="left"/>
      <w:pPr>
        <w:tabs>
          <w:tab w:val="num" w:pos="6593"/>
        </w:tabs>
        <w:ind w:left="6593" w:hanging="360"/>
      </w:pPr>
      <w:rPr>
        <w:rFonts w:ascii="Wingdings" w:hAnsi="Wingdings" w:cs="Wingdings" w:hint="default"/>
        <w:rFonts w:cs="Wingdings"/>
      </w:rPr>
    </w:lvl>
  </w:abstractNum>
  <w:abstractNum w:abstractNumId="4">
    <w:lvl w:ilvl="0">
      <w:start w:val="1"/>
      <w:numFmt w:val="bullet"/>
      <w:lvlText w:val=""/>
      <w:lvlJc w:val="left"/>
      <w:pPr>
        <w:tabs>
          <w:tab w:val="num" w:pos="833"/>
        </w:tabs>
        <w:ind w:left="833" w:hanging="360"/>
      </w:pPr>
      <w:rPr>
        <w:rFonts w:ascii="Symbol" w:hAnsi="Symbol" w:cs="Symbol" w:hint="default"/>
        <w:sz w:val="22"/>
        <w:rFonts w:cs="Symbol"/>
      </w:rPr>
    </w:lvl>
    <w:lvl w:ilvl="1">
      <w:start w:val="1"/>
      <w:numFmt w:val="bullet"/>
      <w:lvlText w:val="o"/>
      <w:lvlJc w:val="left"/>
      <w:pPr>
        <w:tabs>
          <w:tab w:val="num" w:pos="1553"/>
        </w:tabs>
        <w:ind w:left="1553" w:hanging="360"/>
      </w:pPr>
      <w:rPr>
        <w:rFonts w:ascii="Courier New" w:hAnsi="Courier New" w:cs="Courier New" w:hint="default"/>
        <w:rFonts w:cs="Courier New"/>
      </w:rPr>
    </w:lvl>
    <w:lvl w:ilvl="2">
      <w:start w:val="1"/>
      <w:numFmt w:val="bullet"/>
      <w:lvlText w:val=""/>
      <w:lvlJc w:val="left"/>
      <w:pPr>
        <w:tabs>
          <w:tab w:val="num" w:pos="2273"/>
        </w:tabs>
        <w:ind w:left="2273" w:hanging="360"/>
      </w:pPr>
      <w:rPr>
        <w:rFonts w:ascii="Wingdings" w:hAnsi="Wingdings" w:cs="Wingdings" w:hint="default"/>
        <w:rFonts w:cs="Wingdings"/>
      </w:rPr>
    </w:lvl>
    <w:lvl w:ilvl="3">
      <w:start w:val="1"/>
      <w:numFmt w:val="bullet"/>
      <w:lvlText w:val=""/>
      <w:lvlJc w:val="left"/>
      <w:pPr>
        <w:tabs>
          <w:tab w:val="num" w:pos="2993"/>
        </w:tabs>
        <w:ind w:left="2993" w:hanging="360"/>
      </w:pPr>
      <w:rPr>
        <w:rFonts w:ascii="Symbol" w:hAnsi="Symbol" w:cs="Symbol" w:hint="default"/>
        <w:rFonts w:cs="Symbol"/>
      </w:rPr>
    </w:lvl>
    <w:lvl w:ilvl="4">
      <w:start w:val="1"/>
      <w:numFmt w:val="bullet"/>
      <w:lvlText w:val="o"/>
      <w:lvlJc w:val="left"/>
      <w:pPr>
        <w:tabs>
          <w:tab w:val="num" w:pos="3713"/>
        </w:tabs>
        <w:ind w:left="3713" w:hanging="360"/>
      </w:pPr>
      <w:rPr>
        <w:rFonts w:ascii="Courier New" w:hAnsi="Courier New" w:cs="Courier New" w:hint="default"/>
        <w:rFonts w:cs="Courier New"/>
      </w:rPr>
    </w:lvl>
    <w:lvl w:ilvl="5">
      <w:start w:val="1"/>
      <w:numFmt w:val="bullet"/>
      <w:lvlText w:val=""/>
      <w:lvlJc w:val="left"/>
      <w:pPr>
        <w:tabs>
          <w:tab w:val="num" w:pos="4433"/>
        </w:tabs>
        <w:ind w:left="4433" w:hanging="360"/>
      </w:pPr>
      <w:rPr>
        <w:rFonts w:ascii="Wingdings" w:hAnsi="Wingdings" w:cs="Wingdings" w:hint="default"/>
        <w:rFonts w:cs="Wingdings"/>
      </w:rPr>
    </w:lvl>
    <w:lvl w:ilvl="6">
      <w:start w:val="1"/>
      <w:numFmt w:val="bullet"/>
      <w:lvlText w:val=""/>
      <w:lvlJc w:val="left"/>
      <w:pPr>
        <w:tabs>
          <w:tab w:val="num" w:pos="5153"/>
        </w:tabs>
        <w:ind w:left="5153" w:hanging="360"/>
      </w:pPr>
      <w:rPr>
        <w:rFonts w:ascii="Symbol" w:hAnsi="Symbol" w:cs="Symbol" w:hint="default"/>
        <w:rFonts w:cs="Symbol"/>
      </w:rPr>
    </w:lvl>
    <w:lvl w:ilvl="7">
      <w:start w:val="1"/>
      <w:numFmt w:val="bullet"/>
      <w:lvlText w:val="o"/>
      <w:lvlJc w:val="left"/>
      <w:pPr>
        <w:tabs>
          <w:tab w:val="num" w:pos="5873"/>
        </w:tabs>
        <w:ind w:left="5873" w:hanging="360"/>
      </w:pPr>
      <w:rPr>
        <w:rFonts w:ascii="Courier New" w:hAnsi="Courier New" w:cs="Courier New" w:hint="default"/>
        <w:rFonts w:cs="Courier New"/>
      </w:rPr>
    </w:lvl>
    <w:lvl w:ilvl="8">
      <w:start w:val="1"/>
      <w:numFmt w:val="bullet"/>
      <w:lvlText w:val=""/>
      <w:lvlJc w:val="left"/>
      <w:pPr>
        <w:tabs>
          <w:tab w:val="num" w:pos="6593"/>
        </w:tabs>
        <w:ind w:left="6593"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e3212"/>
    <w:pPr>
      <w:widowControl/>
      <w:suppressAutoHyphens w:val="false"/>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e3212"/>
    <w:pPr>
      <w:keepNext w:val="true"/>
      <w:jc w:val="center"/>
      <w:outlineLvl w:val="0"/>
    </w:pPr>
    <w:rPr>
      <w:b/>
      <w:bCs/>
    </w:rPr>
  </w:style>
  <w:style w:type="paragraph" w:styleId="2">
    <w:name w:val="Heading 2"/>
    <w:basedOn w:val="Normal"/>
    <w:next w:val="Normal"/>
    <w:qFormat/>
    <w:rsid w:val="00be3212"/>
    <w:pPr>
      <w:keepNext w:val="true"/>
      <w:outlineLvl w:val="1"/>
    </w:pPr>
    <w:rPr>
      <w:b/>
      <w:bCs/>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0b6744"/>
    <w:rPr>
      <w:b/>
      <w:bCs/>
    </w:rPr>
  </w:style>
  <w:style w:type="character" w:styleId="Style12" w:customStyle="1">
    <w:name w:val="Основной Знак"/>
    <w:link w:val="a6"/>
    <w:uiPriority w:val="99"/>
    <w:qFormat/>
    <w:rsid w:val="008e1ad5"/>
    <w:rPr>
      <w:rFonts w:ascii="NewtonCSanPin" w:hAnsi="NewtonCSanPin"/>
      <w:color w:val="000000"/>
      <w:sz w:val="21"/>
      <w:szCs w:val="21"/>
    </w:rPr>
  </w:style>
  <w:style w:type="character" w:styleId="21" w:customStyle="1">
    <w:name w:val="Основной текст с отступом 2 Знак"/>
    <w:basedOn w:val="DefaultParagraphFont"/>
    <w:link w:val="20"/>
    <w:qFormat/>
    <w:rsid w:val="00345452"/>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2"/>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Style13">
    <w:name w:val="Заголовок"/>
    <w:basedOn w:val="Normal"/>
    <w:next w:val="Style14"/>
    <w:qFormat/>
    <w:pPr>
      <w:keepNext w:val="true"/>
      <w:spacing w:before="240" w:after="120"/>
    </w:pPr>
    <w:rPr>
      <w:rFonts w:ascii="Arial" w:hAnsi="Arial"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alloonText">
    <w:name w:val="Balloon Text"/>
    <w:basedOn w:val="Normal"/>
    <w:semiHidden/>
    <w:qFormat/>
    <w:rsid w:val="000a7f29"/>
    <w:pPr/>
    <w:rPr>
      <w:rFonts w:ascii="Tahoma" w:hAnsi="Tahoma" w:cs="Tahoma"/>
      <w:sz w:val="16"/>
      <w:szCs w:val="16"/>
    </w:rPr>
  </w:style>
  <w:style w:type="paragraph" w:styleId="BodyText3">
    <w:name w:val="Body Text 3"/>
    <w:basedOn w:val="Normal"/>
    <w:qFormat/>
    <w:rsid w:val="000b6744"/>
    <w:pPr>
      <w:spacing w:before="0" w:after="120"/>
    </w:pPr>
    <w:rPr>
      <w:sz w:val="16"/>
      <w:szCs w:val="16"/>
    </w:rPr>
  </w:style>
  <w:style w:type="paragraph" w:styleId="Style18">
    <w:name w:val="Title"/>
    <w:basedOn w:val="Normal"/>
    <w:qFormat/>
    <w:rsid w:val="000b6744"/>
    <w:pPr>
      <w:jc w:val="center"/>
    </w:pPr>
    <w:rPr>
      <w:b/>
      <w:i/>
      <w:sz w:val="32"/>
      <w:szCs w:val="20"/>
    </w:rPr>
  </w:style>
  <w:style w:type="paragraph" w:styleId="Style19" w:customStyle="1">
    <w:name w:val="Основной"/>
    <w:basedOn w:val="Normal"/>
    <w:link w:val="a7"/>
    <w:uiPriority w:val="99"/>
    <w:qFormat/>
    <w:rsid w:val="008e1ad5"/>
    <w:pPr>
      <w:spacing w:lineRule="atLeast" w:line="214"/>
      <w:ind w:firstLine="283"/>
      <w:jc w:val="both"/>
      <w:textAlignment w:val="center"/>
    </w:pPr>
    <w:rPr>
      <w:rFonts w:ascii="NewtonCSanPin" w:hAnsi="NewtonCSanPin"/>
      <w:color w:val="000000"/>
      <w:sz w:val="21"/>
      <w:szCs w:val="21"/>
    </w:rPr>
  </w:style>
  <w:style w:type="paragraph" w:styleId="BodyTextIndent2">
    <w:name w:val="Body Text Indent 2"/>
    <w:basedOn w:val="Normal"/>
    <w:link w:val="21"/>
    <w:qFormat/>
    <w:rsid w:val="00345452"/>
    <w:pPr>
      <w:spacing w:lineRule="auto" w:line="480" w:before="0" w:after="120"/>
      <w:ind w:left="283" w:hanging="0"/>
    </w:pPr>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Application>Trio_Office/6.2.8.2$Windows_x86 LibreOffice_project/</Application>
  <Pages>4</Pages>
  <Words>1420</Words>
  <Characters>10526</Characters>
  <CharactersWithSpaces>11948</CharactersWithSpaces>
  <Paragraphs>237</Paragraphs>
  <Company>Минобразования России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2018-11-13T07:35:00Z</dcterms:created>
  <dc:creator>Пользователь</dc:creator>
  <dc:description/>
  <dc:language>ru-RU</dc:language>
  <cp:lastModifiedBy/>
  <cp:lastPrinted>2021-09-28T08:47:00Z</cp:lastPrinted>
  <dcterms:modified xsi:type="dcterms:W3CDTF">2022-07-25T16:24:21Z</dcterms:modified>
  <cp:revision>22</cp:revision>
  <dc:subject/>
  <dc:title>Учебный план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Минобразования России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